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方正小标宋简体" w:cs="方正仿宋简体"/>
          <w:sz w:val="32"/>
          <w:szCs w:val="32"/>
        </w:rPr>
      </w:pPr>
      <w:bookmarkStart w:id="0" w:name="_GoBack"/>
      <w:bookmarkEnd w:id="0"/>
    </w:p>
    <w:p>
      <w:pPr>
        <w:autoSpaceDE w:val="0"/>
        <w:autoSpaceDN w:val="0"/>
        <w:adjustRightInd w:val="0"/>
        <w:spacing w:line="360" w:lineRule="auto"/>
        <w:jc w:val="center"/>
        <w:rPr>
          <w:rFonts w:ascii="Times New Roman" w:hAnsi="Times New Roman" w:eastAsia="方正小标宋简体" w:cs="方正仿宋简体"/>
          <w:sz w:val="32"/>
          <w:szCs w:val="32"/>
        </w:rPr>
      </w:pPr>
      <w:r>
        <w:rPr>
          <w:rFonts w:hint="eastAsia" w:ascii="Times New Roman" w:hAnsi="Times New Roman" w:eastAsia="方正小标宋简体" w:cs="方正仿宋简体"/>
          <w:sz w:val="32"/>
          <w:szCs w:val="32"/>
        </w:rPr>
        <w:t>沈阳市烟花爆竹产品质量监督抽查实施细则</w:t>
      </w:r>
    </w:p>
    <w:p>
      <w:pPr>
        <w:snapToGrid w:val="0"/>
        <w:spacing w:line="440" w:lineRule="exact"/>
        <w:rPr>
          <w:rFonts w:ascii="Times New Roman" w:hAnsi="Times New Roman" w:eastAsia="黑体"/>
          <w:szCs w:val="21"/>
        </w:rPr>
      </w:pPr>
    </w:p>
    <w:p>
      <w:pPr>
        <w:snapToGrid w:val="0"/>
        <w:spacing w:line="440" w:lineRule="exact"/>
        <w:rPr>
          <w:rFonts w:ascii="Times New Roman" w:hAnsi="Times New Roman" w:eastAsia="黑体"/>
          <w:szCs w:val="21"/>
        </w:rPr>
      </w:pPr>
      <w:r>
        <w:rPr>
          <w:rFonts w:hint="eastAsia" w:ascii="Times New Roman" w:hAnsi="Times New Roman" w:eastAsia="黑体"/>
          <w:szCs w:val="21"/>
        </w:rPr>
        <w:t>1 抽样方法</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以随机抽样的方式在被抽样销售者的待销产品中抽取。</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随机数一般可使用随机数表、骰子或扑克牌等方法产生。</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抽样时抽样基数满足抽样数量即可。抽样数量按照表1、表2、表3的规定执行。当抽取的样本量不能满足该产品检验所需数量时，应增加抽样样本量达到检验所需数量。</w:t>
      </w:r>
    </w:p>
    <w:p>
      <w:pPr>
        <w:snapToGrid w:val="0"/>
        <w:spacing w:line="440" w:lineRule="exact"/>
        <w:ind w:firstLine="420" w:firstLineChars="200"/>
        <w:jc w:val="center"/>
        <w:rPr>
          <w:rFonts w:hint="eastAsia" w:ascii="Times New Roman" w:hAnsi="Times New Roman"/>
          <w:szCs w:val="21"/>
        </w:rPr>
      </w:pPr>
    </w:p>
    <w:p>
      <w:pPr>
        <w:snapToGrid w:val="0"/>
        <w:spacing w:line="440" w:lineRule="exact"/>
        <w:ind w:firstLine="420" w:firstLineChars="200"/>
        <w:jc w:val="center"/>
        <w:rPr>
          <w:rFonts w:ascii="Times New Roman" w:hAnsi="Times New Roman"/>
          <w:szCs w:val="21"/>
        </w:rPr>
      </w:pPr>
      <w:r>
        <w:rPr>
          <w:rFonts w:ascii="Times New Roman" w:hAnsi="Times New Roman"/>
          <w:szCs w:val="21"/>
        </w:rPr>
        <w:t>表</w:t>
      </w:r>
      <w:r>
        <w:rPr>
          <w:rFonts w:hint="eastAsia" w:ascii="Times New Roman" w:hAnsi="Times New Roman"/>
          <w:szCs w:val="21"/>
        </w:rPr>
        <w:t>1</w:t>
      </w:r>
      <w:r>
        <w:rPr>
          <w:rFonts w:ascii="Times New Roman" w:hAnsi="Times New Roman"/>
          <w:szCs w:val="21"/>
        </w:rPr>
        <w:t xml:space="preserve"> 一般产品</w:t>
      </w:r>
      <w:r>
        <w:rPr>
          <w:rFonts w:hint="eastAsia" w:ascii="Times New Roman" w:hAnsi="Times New Roman"/>
          <w:szCs w:val="21"/>
        </w:rPr>
        <w:t>抽取样品数量</w:t>
      </w:r>
    </w:p>
    <w:tbl>
      <w:tblPr>
        <w:tblStyle w:val="10"/>
        <w:tblW w:w="8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684"/>
        <w:gridCol w:w="1684"/>
        <w:gridCol w:w="1684"/>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2" w:type="dxa"/>
            <w:vAlign w:val="center"/>
          </w:tcPr>
          <w:p>
            <w:pPr>
              <w:jc w:val="center"/>
              <w:rPr>
                <w:rFonts w:ascii="Times New Roman" w:hAnsi="Times New Roman" w:cs="宋体"/>
                <w:szCs w:val="21"/>
              </w:rPr>
            </w:pPr>
            <w:r>
              <w:rPr>
                <w:rFonts w:hint="eastAsia" w:ascii="Times New Roman" w:hAnsi="宋体" w:cs="宋体"/>
                <w:szCs w:val="21"/>
              </w:rPr>
              <w:t>批量范围</w:t>
            </w:r>
            <w:r>
              <w:rPr>
                <w:rFonts w:hint="eastAsia" w:ascii="Times New Roman" w:hAnsi="Times New Roman" w:cs="宋体"/>
                <w:szCs w:val="21"/>
              </w:rPr>
              <w:t>N</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≤500</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501-1000</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1001-2000</w:t>
            </w:r>
          </w:p>
        </w:tc>
        <w:tc>
          <w:tcPr>
            <w:tcW w:w="1685" w:type="dxa"/>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52" w:type="dxa"/>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n</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5</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684"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685" w:type="dxa"/>
            <w:vAlign w:val="center"/>
          </w:tcPr>
          <w:p>
            <w:pPr>
              <w:jc w:val="center"/>
              <w:rPr>
                <w:rFonts w:ascii="Times New Roman" w:hAnsi="Times New Roman" w:cs="宋体"/>
                <w:szCs w:val="21"/>
              </w:rPr>
            </w:pPr>
            <w:r>
              <w:rPr>
                <w:rFonts w:hint="eastAsia" w:ascii="Times New Roman" w:hAnsi="Times New Roman" w:cs="宋体"/>
                <w:szCs w:val="21"/>
              </w:rPr>
              <w:t>13</w:t>
            </w:r>
          </w:p>
        </w:tc>
      </w:tr>
    </w:tbl>
    <w:p>
      <w:pPr>
        <w:snapToGrid w:val="0"/>
        <w:spacing w:beforeLines="50" w:afterLines="50" w:line="440" w:lineRule="exact"/>
        <w:ind w:firstLine="403" w:firstLineChars="192"/>
        <w:jc w:val="center"/>
        <w:rPr>
          <w:rFonts w:ascii="Times New Roman" w:hAnsi="Times New Roman"/>
          <w:szCs w:val="21"/>
        </w:rPr>
      </w:pPr>
      <w:r>
        <w:rPr>
          <w:rFonts w:ascii="Times New Roman" w:hAnsi="Times New Roman"/>
          <w:szCs w:val="21"/>
        </w:rPr>
        <w:t>表</w:t>
      </w:r>
      <w:r>
        <w:rPr>
          <w:rFonts w:hint="eastAsia" w:ascii="Times New Roman" w:hAnsi="Times New Roman"/>
          <w:szCs w:val="21"/>
        </w:rPr>
        <w:t>2</w:t>
      </w:r>
      <w:r>
        <w:rPr>
          <w:rFonts w:ascii="Times New Roman" w:hAnsi="Times New Roman"/>
          <w:szCs w:val="21"/>
        </w:rPr>
        <w:t xml:space="preserve"> 爆竹类产品</w:t>
      </w:r>
      <w:r>
        <w:rPr>
          <w:rFonts w:hint="eastAsia" w:ascii="Times New Roman" w:hAnsi="Times New Roman"/>
          <w:szCs w:val="21"/>
        </w:rPr>
        <w:t>抽取样品数量</w:t>
      </w:r>
    </w:p>
    <w:tbl>
      <w:tblPr>
        <w:tblStyle w:val="10"/>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84"/>
        <w:gridCol w:w="1739"/>
        <w:gridCol w:w="194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54" w:type="dxa"/>
            <w:vMerge w:val="restart"/>
            <w:vAlign w:val="center"/>
          </w:tcPr>
          <w:p>
            <w:pPr>
              <w:jc w:val="center"/>
              <w:rPr>
                <w:rFonts w:ascii="Times New Roman" w:hAnsi="Times New Roman" w:cs="宋体"/>
                <w:szCs w:val="21"/>
              </w:rPr>
            </w:pPr>
            <w:r>
              <w:rPr>
                <w:rFonts w:hint="eastAsia" w:ascii="Times New Roman" w:hAnsi="宋体" w:cs="宋体"/>
                <w:szCs w:val="21"/>
              </w:rPr>
              <w:t>批量范围</w:t>
            </w:r>
          </w:p>
          <w:p>
            <w:pPr>
              <w:jc w:val="center"/>
              <w:rPr>
                <w:rFonts w:ascii="Times New Roman" w:hAnsi="Times New Roman" w:cs="宋体"/>
                <w:szCs w:val="21"/>
              </w:rPr>
            </w:pPr>
            <w:r>
              <w:rPr>
                <w:rFonts w:hint="eastAsia" w:ascii="Times New Roman" w:hAnsi="Times New Roman" w:cs="宋体"/>
                <w:szCs w:val="21"/>
              </w:rPr>
              <w:t>N(</w:t>
            </w:r>
            <w:r>
              <w:rPr>
                <w:rFonts w:hint="eastAsia" w:ascii="Times New Roman" w:hAnsi="宋体" w:cs="宋体"/>
                <w:szCs w:val="21"/>
              </w:rPr>
              <w:t>挂、卷</w:t>
            </w:r>
            <w:r>
              <w:rPr>
                <w:rFonts w:hint="eastAsia" w:ascii="Times New Roman" w:hAnsi="Times New Roman" w:cs="宋体"/>
                <w:szCs w:val="21"/>
              </w:rPr>
              <w:t>)</w:t>
            </w:r>
          </w:p>
        </w:tc>
        <w:tc>
          <w:tcPr>
            <w:tcW w:w="7056" w:type="dxa"/>
            <w:gridSpan w:val="4"/>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n (</w:t>
            </w:r>
            <w:r>
              <w:rPr>
                <w:rFonts w:hint="eastAsia" w:ascii="Times New Roman" w:hAnsi="宋体" w:cs="宋体"/>
                <w:szCs w:val="21"/>
              </w:rPr>
              <w:t>挂、卷</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1254" w:type="dxa"/>
            <w:vMerge w:val="continue"/>
            <w:vAlign w:val="center"/>
          </w:tcPr>
          <w:p>
            <w:pPr>
              <w:jc w:val="center"/>
              <w:rPr>
                <w:rFonts w:ascii="Times New Roman" w:hAnsi="Times New Roman" w:cs="宋体"/>
                <w:szCs w:val="21"/>
              </w:rPr>
            </w:pP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≤50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51-500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501-2000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c>
          <w:tcPr>
            <w:tcW w:w="1785" w:type="dxa"/>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r>
              <w:rPr>
                <w:rFonts w:hint="eastAsia" w:ascii="Times New Roman" w:hAnsi="宋体" w:cs="宋体"/>
                <w:szCs w:val="21"/>
              </w:rPr>
              <w:t>响</w:t>
            </w:r>
            <w:r>
              <w:rPr>
                <w:rFonts w:hint="eastAsia" w:ascii="Times New Roman" w:hAnsi="Times New Roman" w:cs="宋体"/>
                <w:szCs w:val="21"/>
              </w:rPr>
              <w:t>/(</w:t>
            </w:r>
            <w:r>
              <w:rPr>
                <w:rFonts w:hint="eastAsia" w:ascii="Times New Roman" w:hAnsi="宋体" w:cs="宋体"/>
                <w:szCs w:val="21"/>
              </w:rPr>
              <w:t>挂、卷</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≤500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6</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5</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501-1000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6</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Times New Roman" w:cs="宋体"/>
                <w:szCs w:val="21"/>
              </w:rPr>
              <w:t>1000-2000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13</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8</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54" w:type="dxa"/>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2000</w:t>
            </w:r>
          </w:p>
        </w:tc>
        <w:tc>
          <w:tcPr>
            <w:tcW w:w="1584" w:type="dxa"/>
            <w:vAlign w:val="center"/>
          </w:tcPr>
          <w:p>
            <w:pPr>
              <w:jc w:val="center"/>
              <w:rPr>
                <w:rFonts w:ascii="Times New Roman" w:hAnsi="Times New Roman" w:cs="宋体"/>
                <w:szCs w:val="21"/>
              </w:rPr>
            </w:pPr>
            <w:r>
              <w:rPr>
                <w:rFonts w:hint="eastAsia" w:ascii="Times New Roman" w:hAnsi="Times New Roman" w:cs="宋体"/>
                <w:szCs w:val="21"/>
              </w:rPr>
              <w:t>13</w:t>
            </w:r>
          </w:p>
        </w:tc>
        <w:tc>
          <w:tcPr>
            <w:tcW w:w="1739" w:type="dxa"/>
            <w:vAlign w:val="center"/>
          </w:tcPr>
          <w:p>
            <w:pPr>
              <w:jc w:val="center"/>
              <w:rPr>
                <w:rFonts w:ascii="Times New Roman" w:hAnsi="Times New Roman" w:cs="宋体"/>
                <w:szCs w:val="21"/>
              </w:rPr>
            </w:pPr>
            <w:r>
              <w:rPr>
                <w:rFonts w:hint="eastAsia" w:ascii="Times New Roman" w:hAnsi="Times New Roman" w:cs="宋体"/>
                <w:szCs w:val="21"/>
              </w:rPr>
              <w:t>12</w:t>
            </w:r>
          </w:p>
        </w:tc>
        <w:tc>
          <w:tcPr>
            <w:tcW w:w="1948" w:type="dxa"/>
            <w:vAlign w:val="center"/>
          </w:tcPr>
          <w:p>
            <w:pPr>
              <w:jc w:val="center"/>
              <w:rPr>
                <w:rFonts w:ascii="Times New Roman" w:hAnsi="Times New Roman" w:cs="宋体"/>
                <w:szCs w:val="21"/>
              </w:rPr>
            </w:pPr>
            <w:r>
              <w:rPr>
                <w:rFonts w:hint="eastAsia" w:ascii="Times New Roman" w:hAnsi="Times New Roman" w:cs="宋体"/>
                <w:szCs w:val="21"/>
              </w:rPr>
              <w:t>10</w:t>
            </w:r>
          </w:p>
        </w:tc>
        <w:tc>
          <w:tcPr>
            <w:tcW w:w="1785" w:type="dxa"/>
            <w:vAlign w:val="center"/>
          </w:tcPr>
          <w:p>
            <w:pPr>
              <w:jc w:val="center"/>
              <w:rPr>
                <w:rFonts w:ascii="Times New Roman" w:hAnsi="Times New Roman" w:cs="宋体"/>
                <w:szCs w:val="21"/>
              </w:rPr>
            </w:pPr>
            <w:r>
              <w:rPr>
                <w:rFonts w:hint="eastAsia" w:ascii="Times New Roman" w:hAnsi="Times New Roman" w:cs="宋体"/>
                <w:szCs w:val="21"/>
              </w:rPr>
              <w:t>6</w:t>
            </w:r>
          </w:p>
        </w:tc>
      </w:tr>
    </w:tbl>
    <w:p>
      <w:pPr>
        <w:snapToGrid w:val="0"/>
        <w:spacing w:beforeLines="50" w:afterLines="50" w:line="440" w:lineRule="exact"/>
        <w:ind w:firstLine="403" w:firstLineChars="192"/>
        <w:jc w:val="center"/>
        <w:rPr>
          <w:rFonts w:ascii="Times New Roman" w:hAnsi="Times New Roman"/>
          <w:szCs w:val="21"/>
        </w:rPr>
      </w:pPr>
      <w:r>
        <w:rPr>
          <w:rFonts w:ascii="Times New Roman" w:hAnsi="Times New Roman"/>
          <w:szCs w:val="21"/>
        </w:rPr>
        <w:t>表</w:t>
      </w:r>
      <w:r>
        <w:rPr>
          <w:rFonts w:hint="eastAsia" w:ascii="Times New Roman" w:hAnsi="Times New Roman"/>
          <w:szCs w:val="21"/>
        </w:rPr>
        <w:t>3</w:t>
      </w:r>
      <w:r>
        <w:rPr>
          <w:rFonts w:ascii="Times New Roman" w:hAnsi="Times New Roman"/>
          <w:szCs w:val="21"/>
        </w:rPr>
        <w:t xml:space="preserve"> 组合烟花类产品</w:t>
      </w:r>
      <w:r>
        <w:rPr>
          <w:rFonts w:hint="eastAsia" w:ascii="Times New Roman" w:hAnsi="Times New Roman"/>
          <w:szCs w:val="21"/>
        </w:rPr>
        <w:t>抽取样品数量</w:t>
      </w:r>
    </w:p>
    <w:tbl>
      <w:tblPr>
        <w:tblStyle w:val="10"/>
        <w:tblW w:w="82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2"/>
        <w:gridCol w:w="1137"/>
        <w:gridCol w:w="1120"/>
        <w:gridCol w:w="1174"/>
        <w:gridCol w:w="1169"/>
        <w:gridCol w:w="1126"/>
        <w:gridCol w:w="10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批量范围</w:t>
            </w:r>
          </w:p>
          <w:p>
            <w:pPr>
              <w:jc w:val="center"/>
              <w:rPr>
                <w:rFonts w:ascii="Times New Roman" w:hAnsi="Times New Roman" w:cs="宋体"/>
                <w:szCs w:val="21"/>
              </w:rPr>
            </w:pPr>
            <w:r>
              <w:rPr>
                <w:rFonts w:hint="eastAsia" w:ascii="Times New Roman" w:hAnsi="Times New Roman" w:cs="宋体"/>
                <w:szCs w:val="21"/>
              </w:rPr>
              <w:t>N</w:t>
            </w:r>
            <w:r>
              <w:rPr>
                <w:rFonts w:hint="eastAsia" w:ascii="Times New Roman" w:hAnsi="宋体" w:cs="宋体"/>
                <w:szCs w:val="21"/>
              </w:rPr>
              <w:t>（个）</w:t>
            </w: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样本量</w:t>
            </w:r>
            <w:r>
              <w:rPr>
                <w:rFonts w:hint="eastAsia" w:ascii="Times New Roman" w:hAnsi="Times New Roman" w:cs="宋体"/>
                <w:szCs w:val="21"/>
              </w:rPr>
              <w:t xml:space="preserve"> n /</w:t>
            </w:r>
            <w:r>
              <w:rPr>
                <w:rFonts w:hint="eastAsia" w:ascii="Times New Roman"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组合发数（发</w:t>
            </w:r>
            <w:r>
              <w:rPr>
                <w:rFonts w:hint="eastAsia" w:ascii="Times New Roman" w:hAnsi="Times New Roman" w:cs="宋体"/>
                <w:szCs w:val="21"/>
              </w:rPr>
              <w:t>/</w:t>
            </w:r>
            <w:r>
              <w:rPr>
                <w:rFonts w:hint="eastAsia" w:ascii="Times New Roman"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 xml:space="preserve">≤20 </w:t>
            </w:r>
          </w:p>
        </w:tc>
        <w:tc>
          <w:tcPr>
            <w:tcW w:w="23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21</w:t>
            </w:r>
            <w:r>
              <w:rPr>
                <w:rFonts w:hint="eastAsia" w:ascii="Times New Roman" w:hAnsi="宋体" w:cs="宋体"/>
                <w:szCs w:val="21"/>
              </w:rPr>
              <w:t>～</w:t>
            </w:r>
            <w:r>
              <w:rPr>
                <w:rFonts w:hint="eastAsia" w:ascii="Times New Roman" w:hAnsi="Times New Roman" w:cs="宋体"/>
                <w:szCs w:val="21"/>
              </w:rPr>
              <w:t>50</w:t>
            </w:r>
          </w:p>
        </w:tc>
        <w:tc>
          <w:tcPr>
            <w:tcW w:w="2143" w:type="dxa"/>
            <w:gridSpan w:val="2"/>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6743" w:type="dxa"/>
            <w:gridSpan w:val="6"/>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单筒内径（</w:t>
            </w:r>
            <w:r>
              <w:rPr>
                <w:rFonts w:hint="eastAsia" w:ascii="Times New Roman" w:hAnsi="Times New Roman" w:cs="宋体"/>
                <w:szCs w:val="21"/>
              </w:rPr>
              <w:t>mm</w:t>
            </w:r>
            <w:r>
              <w:rPr>
                <w:rFonts w:hint="eastAsia" w:ascii="Times New Roman"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宋体" w:cs="宋体"/>
                <w:szCs w:val="21"/>
              </w:rPr>
              <w:t>＞</w:t>
            </w:r>
            <w:r>
              <w:rPr>
                <w:rFonts w:hint="eastAsia" w:ascii="Times New Roman" w:hAnsi="Times New Roman" w:cs="宋体"/>
                <w:szCs w:val="21"/>
              </w:rPr>
              <w:t>30</w:t>
            </w:r>
          </w:p>
        </w:tc>
        <w:tc>
          <w:tcPr>
            <w:tcW w:w="1017" w:type="dxa"/>
            <w:tcBorders>
              <w:top w:val="single" w:color="auto" w:sz="4" w:space="0"/>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≤500</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501</w:t>
            </w:r>
            <w:r>
              <w:rPr>
                <w:rFonts w:hint="eastAsia" w:ascii="Times New Roman" w:hAnsi="宋体" w:cs="宋体"/>
                <w:szCs w:val="21"/>
              </w:rPr>
              <w:t>～</w:t>
            </w:r>
            <w:r>
              <w:rPr>
                <w:rFonts w:hint="eastAsia" w:ascii="Times New Roman" w:hAnsi="Times New Roman" w:cs="宋体"/>
                <w:szCs w:val="21"/>
              </w:rPr>
              <w:t>1000</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4</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542" w:type="dxa"/>
            <w:tcBorders>
              <w:top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≥1001</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8</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7</w:t>
            </w:r>
          </w:p>
        </w:tc>
        <w:tc>
          <w:tcPr>
            <w:tcW w:w="1126" w:type="dxa"/>
            <w:tcBorders>
              <w:left w:val="single" w:color="auto" w:sz="4" w:space="0"/>
              <w:bottom w:val="single" w:color="auto" w:sz="4" w:space="0"/>
              <w:right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5</w:t>
            </w:r>
          </w:p>
        </w:tc>
        <w:tc>
          <w:tcPr>
            <w:tcW w:w="1017" w:type="dxa"/>
            <w:tcBorders>
              <w:left w:val="single" w:color="auto" w:sz="4" w:space="0"/>
              <w:bottom w:val="single" w:color="auto" w:sz="4" w:space="0"/>
            </w:tcBorders>
            <w:vAlign w:val="center"/>
          </w:tcPr>
          <w:p>
            <w:pPr>
              <w:jc w:val="center"/>
              <w:rPr>
                <w:rFonts w:ascii="Times New Roman" w:hAnsi="Times New Roman" w:cs="宋体"/>
                <w:szCs w:val="21"/>
              </w:rPr>
            </w:pPr>
            <w:r>
              <w:rPr>
                <w:rFonts w:hint="eastAsia" w:ascii="Times New Roman" w:hAnsi="Times New Roman" w:cs="宋体"/>
                <w:szCs w:val="21"/>
              </w:rPr>
              <w:t>6</w:t>
            </w:r>
          </w:p>
        </w:tc>
      </w:tr>
    </w:tbl>
    <w:p>
      <w:pPr>
        <w:snapToGrid w:val="0"/>
        <w:spacing w:line="440" w:lineRule="exact"/>
        <w:rPr>
          <w:rFonts w:ascii="Times New Roman" w:hAnsi="Times New Roman" w:eastAsia="黑体"/>
          <w:szCs w:val="21"/>
        </w:rPr>
      </w:pPr>
      <w:r>
        <w:rPr>
          <w:rFonts w:hint="eastAsia" w:ascii="Times New Roman" w:hAnsi="Times New Roman" w:eastAsia="黑体"/>
          <w:szCs w:val="21"/>
        </w:rPr>
        <w:t>2 检验依据</w:t>
      </w:r>
    </w:p>
    <w:p>
      <w:pPr>
        <w:snapToGrid w:val="0"/>
        <w:spacing w:beforeLines="50" w:afterLines="50" w:line="440" w:lineRule="exact"/>
        <w:ind w:firstLine="403" w:firstLineChars="192"/>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4 </w:t>
      </w:r>
      <w:r>
        <w:rPr>
          <w:rFonts w:ascii="Times New Roman" w:hAnsi="Times New Roman"/>
          <w:szCs w:val="21"/>
        </w:rPr>
        <w:t>烟花爆竹</w:t>
      </w:r>
      <w:r>
        <w:rPr>
          <w:rFonts w:hint="eastAsia" w:ascii="Times New Roman" w:hAnsi="Times New Roman"/>
          <w:szCs w:val="21"/>
        </w:rPr>
        <w:t>（</w:t>
      </w:r>
      <w:r>
        <w:rPr>
          <w:rFonts w:ascii="Times New Roman" w:hAnsi="Times New Roman"/>
          <w:szCs w:val="21"/>
        </w:rPr>
        <w:t>组合烟花</w:t>
      </w:r>
      <w:r>
        <w:rPr>
          <w:rFonts w:hint="eastAsia" w:ascii="Times New Roman" w:hAnsi="Times New Roman"/>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425"/>
        <w:gridCol w:w="709"/>
        <w:gridCol w:w="259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ascii="Times New Roman" w:hAnsi="宋体" w:cs="宋体"/>
                <w:szCs w:val="21"/>
              </w:rPr>
              <w:t>序号</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检验项目</w:t>
            </w:r>
          </w:p>
        </w:tc>
        <w:tc>
          <w:tcPr>
            <w:tcW w:w="2841" w:type="dxa"/>
            <w:vAlign w:val="center"/>
          </w:tcPr>
          <w:p>
            <w:pPr>
              <w:snapToGrid w:val="0"/>
              <w:spacing w:line="360" w:lineRule="auto"/>
              <w:jc w:val="center"/>
              <w:rPr>
                <w:rFonts w:ascii="Times New Roman" w:hAnsi="Times New Roman" w:cs="宋体"/>
                <w:szCs w:val="21"/>
              </w:rPr>
            </w:pPr>
            <w:r>
              <w:rPr>
                <w:rFonts w:ascii="Times New Roman"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1</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标志</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2</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包装</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3</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外观</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4</w:t>
            </w:r>
          </w:p>
        </w:tc>
        <w:tc>
          <w:tcPr>
            <w:tcW w:w="850" w:type="dxa"/>
            <w:vMerge w:val="restart"/>
            <w:vAlign w:val="center"/>
          </w:tcPr>
          <w:p>
            <w:pPr>
              <w:snapToGrid w:val="0"/>
              <w:jc w:val="center"/>
              <w:rPr>
                <w:rFonts w:ascii="Times New Roman" w:hAnsi="Times New Roman" w:cs="宋体"/>
                <w:szCs w:val="21"/>
              </w:rPr>
            </w:pPr>
            <w:r>
              <w:rPr>
                <w:rFonts w:ascii="Times New Roman" w:hAnsi="宋体" w:cs="宋体"/>
                <w:szCs w:val="21"/>
              </w:rPr>
              <w:t>部件</w:t>
            </w:r>
          </w:p>
        </w:tc>
        <w:tc>
          <w:tcPr>
            <w:tcW w:w="1134" w:type="dxa"/>
            <w:gridSpan w:val="2"/>
            <w:vMerge w:val="restart"/>
            <w:vAlign w:val="center"/>
          </w:tcPr>
          <w:p>
            <w:pPr>
              <w:snapToGrid w:val="0"/>
              <w:jc w:val="center"/>
              <w:rPr>
                <w:rFonts w:ascii="Times New Roman" w:hAnsi="Times New Roman" w:cs="宋体"/>
                <w:szCs w:val="21"/>
              </w:rPr>
            </w:pPr>
            <w:r>
              <w:rPr>
                <w:rFonts w:ascii="Times New Roman" w:hAnsi="宋体" w:cs="宋体"/>
                <w:szCs w:val="21"/>
              </w:rPr>
              <w:t>引燃</w:t>
            </w:r>
          </w:p>
          <w:p>
            <w:pPr>
              <w:snapToGrid w:val="0"/>
              <w:jc w:val="center"/>
              <w:rPr>
                <w:rFonts w:ascii="Times New Roman" w:hAnsi="Times New Roman" w:cs="宋体"/>
                <w:szCs w:val="21"/>
              </w:rPr>
            </w:pPr>
            <w:r>
              <w:rPr>
                <w:rFonts w:ascii="Times New Roman" w:hAnsi="宋体" w:cs="宋体"/>
                <w:szCs w:val="21"/>
              </w:rPr>
              <w:t>装置</w:t>
            </w:r>
          </w:p>
        </w:tc>
        <w:tc>
          <w:tcPr>
            <w:tcW w:w="2596" w:type="dxa"/>
            <w:vAlign w:val="center"/>
          </w:tcPr>
          <w:p>
            <w:pPr>
              <w:snapToGrid w:val="0"/>
              <w:jc w:val="center"/>
              <w:rPr>
                <w:rFonts w:ascii="Times New Roman" w:hAnsi="Times New Roman" w:cs="宋体"/>
                <w:szCs w:val="21"/>
              </w:rPr>
            </w:pPr>
            <w:r>
              <w:rPr>
                <w:rFonts w:ascii="Times New Roman" w:hAnsi="宋体" w:cs="宋体"/>
                <w:szCs w:val="21"/>
              </w:rPr>
              <w:t>引火线</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5</w:t>
            </w:r>
          </w:p>
        </w:tc>
        <w:tc>
          <w:tcPr>
            <w:tcW w:w="850" w:type="dxa"/>
            <w:vMerge w:val="continue"/>
            <w:vAlign w:val="center"/>
          </w:tcPr>
          <w:p>
            <w:pPr>
              <w:snapToGrid w:val="0"/>
              <w:jc w:val="center"/>
              <w:rPr>
                <w:rFonts w:ascii="Times New Roman" w:hAnsi="Times New Roman" w:cs="宋体"/>
                <w:szCs w:val="21"/>
              </w:rPr>
            </w:pPr>
          </w:p>
        </w:tc>
        <w:tc>
          <w:tcPr>
            <w:tcW w:w="1134" w:type="dxa"/>
            <w:gridSpan w:val="2"/>
            <w:vMerge w:val="continue"/>
            <w:vAlign w:val="center"/>
          </w:tcPr>
          <w:p>
            <w:pPr>
              <w:snapToGrid w:val="0"/>
              <w:jc w:val="center"/>
              <w:rPr>
                <w:rFonts w:ascii="Times New Roman" w:hAnsi="Times New Roman" w:cs="宋体"/>
                <w:szCs w:val="21"/>
              </w:rPr>
            </w:pPr>
          </w:p>
        </w:tc>
        <w:tc>
          <w:tcPr>
            <w:tcW w:w="2596" w:type="dxa"/>
            <w:vAlign w:val="center"/>
          </w:tcPr>
          <w:p>
            <w:pPr>
              <w:snapToGrid w:val="0"/>
              <w:jc w:val="center"/>
              <w:rPr>
                <w:rFonts w:ascii="Times New Roman" w:hAnsi="Times New Roman" w:cs="宋体"/>
                <w:szCs w:val="21"/>
              </w:rPr>
            </w:pPr>
            <w:r>
              <w:rPr>
                <w:rFonts w:ascii="Times New Roman" w:hAnsi="宋体" w:cs="宋体"/>
                <w:szCs w:val="21"/>
              </w:rPr>
              <w:t>引火线牢固性</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6</w:t>
            </w:r>
          </w:p>
        </w:tc>
        <w:tc>
          <w:tcPr>
            <w:tcW w:w="850" w:type="dxa"/>
            <w:vMerge w:val="continue"/>
            <w:vAlign w:val="center"/>
          </w:tcPr>
          <w:p>
            <w:pPr>
              <w:snapToGrid w:val="0"/>
              <w:jc w:val="center"/>
              <w:rPr>
                <w:rFonts w:ascii="Times New Roman" w:hAnsi="Times New Roman" w:cs="宋体"/>
                <w:szCs w:val="21"/>
              </w:rPr>
            </w:pPr>
          </w:p>
        </w:tc>
        <w:tc>
          <w:tcPr>
            <w:tcW w:w="1134" w:type="dxa"/>
            <w:gridSpan w:val="2"/>
            <w:vMerge w:val="continue"/>
            <w:vAlign w:val="center"/>
          </w:tcPr>
          <w:p>
            <w:pPr>
              <w:snapToGrid w:val="0"/>
              <w:jc w:val="center"/>
              <w:rPr>
                <w:rFonts w:ascii="Times New Roman" w:hAnsi="Times New Roman" w:cs="宋体"/>
                <w:szCs w:val="21"/>
              </w:rPr>
            </w:pPr>
          </w:p>
        </w:tc>
        <w:tc>
          <w:tcPr>
            <w:tcW w:w="2596" w:type="dxa"/>
            <w:vAlign w:val="center"/>
          </w:tcPr>
          <w:p>
            <w:pPr>
              <w:snapToGrid w:val="0"/>
              <w:jc w:val="center"/>
              <w:rPr>
                <w:rFonts w:ascii="Times New Roman" w:hAnsi="Times New Roman" w:cs="宋体"/>
                <w:szCs w:val="21"/>
              </w:rPr>
            </w:pPr>
            <w:r>
              <w:rPr>
                <w:rFonts w:ascii="Times New Roman" w:hAnsi="宋体" w:cs="宋体"/>
                <w:szCs w:val="21"/>
              </w:rPr>
              <w:t>引燃时间</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7</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结构与材质</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8</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主体稳定性</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9</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药种（氯酸盐）</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jc w:val="center"/>
              <w:rPr>
                <w:rFonts w:ascii="Times New Roman" w:hAnsi="Times New Roman" w:cs="宋体"/>
                <w:szCs w:val="21"/>
              </w:rPr>
            </w:pPr>
            <w:r>
              <w:rPr>
                <w:rFonts w:hint="eastAsia" w:ascii="Times New Roman" w:hAnsi="Times New Roman" w:cs="宋体"/>
                <w:szCs w:val="21"/>
              </w:rPr>
              <w:t>10</w:t>
            </w:r>
          </w:p>
        </w:tc>
        <w:tc>
          <w:tcPr>
            <w:tcW w:w="4580" w:type="dxa"/>
            <w:gridSpan w:val="4"/>
            <w:vAlign w:val="center"/>
          </w:tcPr>
          <w:p>
            <w:pPr>
              <w:snapToGrid w:val="0"/>
              <w:jc w:val="center"/>
              <w:rPr>
                <w:rFonts w:ascii="Times New Roman" w:hAnsi="Times New Roman" w:cs="宋体"/>
                <w:szCs w:val="21"/>
              </w:rPr>
            </w:pPr>
            <w:r>
              <w:rPr>
                <w:rFonts w:ascii="Times New Roman" w:hAnsi="宋体" w:cs="宋体"/>
                <w:szCs w:val="21"/>
              </w:rPr>
              <w:t>药量</w:t>
            </w:r>
          </w:p>
        </w:tc>
        <w:tc>
          <w:tcPr>
            <w:tcW w:w="2841" w:type="dxa"/>
            <w:vAlign w:val="center"/>
          </w:tcPr>
          <w:p>
            <w:pPr>
              <w:snapToGrid w:val="0"/>
              <w:spacing w:line="360" w:lineRule="auto"/>
              <w:jc w:val="center"/>
              <w:rPr>
                <w:rFonts w:ascii="Times New Roman" w:hAnsi="Times New Roman" w:cs="宋体"/>
                <w:szCs w:val="21"/>
              </w:rPr>
            </w:pPr>
            <w:r>
              <w:rPr>
                <w:rFonts w:ascii="Times New Roman" w:hAnsi="Times New Roman" w:cs="宋体"/>
                <w:szCs w:val="21"/>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360" w:lineRule="auto"/>
              <w:jc w:val="center"/>
              <w:rPr>
                <w:rFonts w:ascii="Times New Roman" w:hAnsi="Times New Roman" w:cs="宋体"/>
                <w:szCs w:val="21"/>
              </w:rPr>
            </w:pPr>
            <w:r>
              <w:rPr>
                <w:rFonts w:hint="eastAsia" w:ascii="Times New Roman" w:hAnsi="Times New Roman" w:cs="宋体"/>
                <w:szCs w:val="21"/>
              </w:rPr>
              <w:t>11</w:t>
            </w:r>
          </w:p>
        </w:tc>
        <w:tc>
          <w:tcPr>
            <w:tcW w:w="1275" w:type="dxa"/>
            <w:gridSpan w:val="2"/>
            <w:vMerge w:val="restart"/>
            <w:vAlign w:val="center"/>
          </w:tcPr>
          <w:p>
            <w:pPr>
              <w:snapToGrid w:val="0"/>
              <w:spacing w:line="360" w:lineRule="auto"/>
              <w:jc w:val="center"/>
              <w:rPr>
                <w:rFonts w:ascii="Times New Roman" w:hAnsi="Times New Roman" w:cs="宋体"/>
                <w:szCs w:val="21"/>
              </w:rPr>
            </w:pPr>
            <w:r>
              <w:rPr>
                <w:rFonts w:ascii="Times New Roman" w:hAnsi="宋体" w:cs="宋体"/>
                <w:szCs w:val="21"/>
              </w:rPr>
              <w:t>燃</w:t>
            </w:r>
          </w:p>
          <w:p>
            <w:pPr>
              <w:snapToGrid w:val="0"/>
              <w:spacing w:line="360" w:lineRule="auto"/>
              <w:jc w:val="center"/>
              <w:rPr>
                <w:rFonts w:ascii="Times New Roman" w:hAnsi="Times New Roman" w:cs="宋体"/>
                <w:szCs w:val="21"/>
              </w:rPr>
            </w:pPr>
            <w:r>
              <w:rPr>
                <w:rFonts w:ascii="Times New Roman" w:hAnsi="宋体" w:cs="宋体"/>
                <w:szCs w:val="21"/>
              </w:rPr>
              <w:t>放</w:t>
            </w:r>
          </w:p>
          <w:p>
            <w:pPr>
              <w:snapToGrid w:val="0"/>
              <w:spacing w:line="360" w:lineRule="auto"/>
              <w:jc w:val="center"/>
              <w:rPr>
                <w:rFonts w:ascii="Times New Roman" w:hAnsi="Times New Roman" w:cs="宋体"/>
                <w:szCs w:val="21"/>
              </w:rPr>
            </w:pPr>
            <w:r>
              <w:rPr>
                <w:rFonts w:ascii="Times New Roman" w:hAnsi="宋体" w:cs="宋体"/>
                <w:szCs w:val="21"/>
              </w:rPr>
              <w:t>性</w:t>
            </w:r>
          </w:p>
          <w:p>
            <w:pPr>
              <w:snapToGrid w:val="0"/>
              <w:spacing w:line="360" w:lineRule="auto"/>
              <w:jc w:val="center"/>
              <w:rPr>
                <w:rFonts w:ascii="Times New Roman" w:hAnsi="Times New Roman" w:cs="宋体"/>
                <w:szCs w:val="21"/>
              </w:rPr>
            </w:pPr>
            <w:r>
              <w:rPr>
                <w:rFonts w:ascii="Times New Roman" w:hAnsi="宋体" w:cs="宋体"/>
                <w:szCs w:val="21"/>
              </w:rPr>
              <w:t>能</w:t>
            </w:r>
          </w:p>
        </w:tc>
        <w:tc>
          <w:tcPr>
            <w:tcW w:w="3305" w:type="dxa"/>
            <w:gridSpan w:val="2"/>
            <w:vAlign w:val="center"/>
          </w:tcPr>
          <w:p>
            <w:pPr>
              <w:jc w:val="center"/>
              <w:rPr>
                <w:rFonts w:ascii="Times New Roman" w:hAnsi="Times New Roman" w:cs="宋体"/>
                <w:szCs w:val="21"/>
              </w:rPr>
            </w:pPr>
            <w:r>
              <w:rPr>
                <w:rFonts w:hint="eastAsia" w:ascii="Times New Roman" w:hAnsi="宋体" w:cs="宋体"/>
                <w:szCs w:val="21"/>
              </w:rPr>
              <w:t>燃放缺陷</w:t>
            </w:r>
          </w:p>
        </w:tc>
        <w:tc>
          <w:tcPr>
            <w:tcW w:w="2841" w:type="dxa"/>
            <w:vAlign w:val="center"/>
          </w:tcPr>
          <w:p>
            <w:pPr>
              <w:snapToGrid w:val="0"/>
              <w:jc w:val="center"/>
              <w:rPr>
                <w:rFonts w:ascii="Times New Roman" w:hAnsi="Times New Roman" w:cs="宋体"/>
                <w:szCs w:val="21"/>
              </w:rPr>
            </w:pPr>
            <w:r>
              <w:rPr>
                <w:rFonts w:ascii="Times New Roman" w:hAnsi="Times New Roman" w:cs="宋体"/>
                <w:szCs w:val="21"/>
              </w:rPr>
              <w:t>GB 19593-2015</w:t>
            </w:r>
            <w:r>
              <w:rPr>
                <w:rFonts w:hint="eastAsia" w:ascii="Times New Roman" w:hAnsi="Times New Roman"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360" w:lineRule="auto"/>
              <w:jc w:val="center"/>
              <w:rPr>
                <w:rFonts w:ascii="Times New Roman" w:hAnsi="Times New Roman" w:cs="宋体"/>
                <w:szCs w:val="21"/>
              </w:rPr>
            </w:pPr>
            <w:r>
              <w:rPr>
                <w:rFonts w:hint="eastAsia" w:ascii="Times New Roman" w:hAnsi="Times New Roman" w:cs="宋体"/>
                <w:szCs w:val="21"/>
              </w:rPr>
              <w:t>12</w:t>
            </w:r>
          </w:p>
        </w:tc>
        <w:tc>
          <w:tcPr>
            <w:tcW w:w="1275" w:type="dxa"/>
            <w:gridSpan w:val="2"/>
            <w:vMerge w:val="continue"/>
            <w:vAlign w:val="center"/>
          </w:tcPr>
          <w:p>
            <w:pPr>
              <w:snapToGrid w:val="0"/>
              <w:spacing w:line="360" w:lineRule="auto"/>
              <w:jc w:val="center"/>
              <w:rPr>
                <w:rFonts w:ascii="Times New Roman" w:hAnsi="Times New Roman" w:cs="宋体"/>
                <w:szCs w:val="21"/>
              </w:rPr>
            </w:pPr>
          </w:p>
        </w:tc>
        <w:tc>
          <w:tcPr>
            <w:tcW w:w="3305" w:type="dxa"/>
            <w:gridSpan w:val="2"/>
            <w:vAlign w:val="center"/>
          </w:tcPr>
          <w:p>
            <w:pPr>
              <w:snapToGrid w:val="0"/>
              <w:jc w:val="center"/>
              <w:rPr>
                <w:rFonts w:ascii="Times New Roman" w:hAnsi="Times New Roman" w:cs="宋体"/>
                <w:szCs w:val="21"/>
              </w:rPr>
            </w:pPr>
            <w:r>
              <w:rPr>
                <w:rFonts w:hint="eastAsia" w:ascii="Times New Roman" w:hAnsi="宋体" w:cs="宋体"/>
                <w:szCs w:val="21"/>
              </w:rPr>
              <w:t>漂浮物和雷弹检验</w:t>
            </w:r>
          </w:p>
        </w:tc>
        <w:tc>
          <w:tcPr>
            <w:tcW w:w="2841" w:type="dxa"/>
            <w:vAlign w:val="center"/>
          </w:tcPr>
          <w:p>
            <w:pPr>
              <w:snapToGrid w:val="0"/>
              <w:jc w:val="center"/>
              <w:rPr>
                <w:rFonts w:ascii="Times New Roman" w:hAnsi="Times New Roman" w:cs="宋体"/>
                <w:szCs w:val="21"/>
              </w:rPr>
            </w:pPr>
            <w:r>
              <w:rPr>
                <w:rFonts w:ascii="Times New Roman" w:hAnsi="Times New Roman" w:cs="宋体"/>
                <w:szCs w:val="21"/>
              </w:rPr>
              <w:t>GB 19593-2015</w:t>
            </w:r>
            <w:r>
              <w:rPr>
                <w:rFonts w:hint="eastAsia" w:ascii="Times New Roman" w:hAnsi="Times New Roman"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360" w:lineRule="auto"/>
              <w:jc w:val="center"/>
              <w:rPr>
                <w:rFonts w:ascii="Times New Roman" w:hAnsi="Times New Roman" w:cs="宋体"/>
                <w:szCs w:val="21"/>
              </w:rPr>
            </w:pPr>
            <w:r>
              <w:rPr>
                <w:rFonts w:hint="eastAsia" w:ascii="Times New Roman" w:hAnsi="Times New Roman" w:cs="宋体"/>
                <w:szCs w:val="21"/>
              </w:rPr>
              <w:t>13</w:t>
            </w:r>
          </w:p>
        </w:tc>
        <w:tc>
          <w:tcPr>
            <w:tcW w:w="1275" w:type="dxa"/>
            <w:gridSpan w:val="2"/>
            <w:vMerge w:val="continue"/>
            <w:vAlign w:val="center"/>
          </w:tcPr>
          <w:p>
            <w:pPr>
              <w:snapToGrid w:val="0"/>
              <w:spacing w:line="360" w:lineRule="auto"/>
              <w:jc w:val="center"/>
              <w:rPr>
                <w:rFonts w:ascii="Times New Roman" w:hAnsi="Times New Roman" w:cs="宋体"/>
                <w:szCs w:val="21"/>
              </w:rPr>
            </w:pPr>
          </w:p>
        </w:tc>
        <w:tc>
          <w:tcPr>
            <w:tcW w:w="3305" w:type="dxa"/>
            <w:gridSpan w:val="2"/>
            <w:vAlign w:val="center"/>
          </w:tcPr>
          <w:p>
            <w:pPr>
              <w:snapToGrid w:val="0"/>
              <w:jc w:val="center"/>
              <w:rPr>
                <w:rFonts w:ascii="Times New Roman" w:hAnsi="Times New Roman" w:cs="宋体"/>
                <w:szCs w:val="21"/>
              </w:rPr>
            </w:pPr>
            <w:r>
              <w:rPr>
                <w:rFonts w:hint="eastAsia" w:ascii="Times New Roman" w:hAnsi="宋体" w:cs="宋体"/>
                <w:szCs w:val="21"/>
              </w:rPr>
              <w:t>发射偏斜角</w:t>
            </w:r>
          </w:p>
        </w:tc>
        <w:tc>
          <w:tcPr>
            <w:tcW w:w="2841" w:type="dxa"/>
            <w:vAlign w:val="center"/>
          </w:tcPr>
          <w:p>
            <w:pPr>
              <w:snapToGrid w:val="0"/>
              <w:jc w:val="center"/>
              <w:rPr>
                <w:rFonts w:ascii="Times New Roman" w:hAnsi="Times New Roman" w:cs="宋体"/>
                <w:szCs w:val="21"/>
              </w:rPr>
            </w:pPr>
            <w:r>
              <w:rPr>
                <w:rFonts w:ascii="Times New Roman" w:hAnsi="Times New Roman" w:cs="宋体"/>
                <w:szCs w:val="21"/>
              </w:rPr>
              <w:t>GB 19593-2015</w:t>
            </w:r>
            <w:r>
              <w:rPr>
                <w:rFonts w:hint="eastAsia" w:ascii="Times New Roman" w:hAnsi="Times New Roman"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360" w:lineRule="auto"/>
              <w:jc w:val="center"/>
              <w:rPr>
                <w:rFonts w:ascii="Times New Roman" w:hAnsi="Times New Roman" w:cs="宋体"/>
                <w:szCs w:val="21"/>
              </w:rPr>
            </w:pPr>
            <w:r>
              <w:rPr>
                <w:rFonts w:hint="eastAsia" w:ascii="Times New Roman" w:hAnsi="Times New Roman" w:cs="宋体"/>
                <w:szCs w:val="21"/>
              </w:rPr>
              <w:t>14</w:t>
            </w:r>
          </w:p>
        </w:tc>
        <w:tc>
          <w:tcPr>
            <w:tcW w:w="1275" w:type="dxa"/>
            <w:gridSpan w:val="2"/>
            <w:vMerge w:val="continue"/>
            <w:vAlign w:val="center"/>
          </w:tcPr>
          <w:p>
            <w:pPr>
              <w:snapToGrid w:val="0"/>
              <w:spacing w:line="360" w:lineRule="auto"/>
              <w:jc w:val="center"/>
              <w:rPr>
                <w:rFonts w:ascii="Times New Roman" w:hAnsi="Times New Roman" w:cs="宋体"/>
                <w:szCs w:val="21"/>
              </w:rPr>
            </w:pPr>
          </w:p>
        </w:tc>
        <w:tc>
          <w:tcPr>
            <w:tcW w:w="3305" w:type="dxa"/>
            <w:gridSpan w:val="2"/>
            <w:vAlign w:val="center"/>
          </w:tcPr>
          <w:p>
            <w:pPr>
              <w:snapToGrid w:val="0"/>
              <w:jc w:val="center"/>
              <w:rPr>
                <w:rFonts w:ascii="Times New Roman" w:hAnsi="Times New Roman" w:cs="宋体"/>
                <w:szCs w:val="21"/>
              </w:rPr>
            </w:pPr>
            <w:r>
              <w:rPr>
                <w:rFonts w:hint="eastAsia" w:ascii="Times New Roman" w:hAnsi="宋体" w:cs="宋体"/>
                <w:szCs w:val="21"/>
              </w:rPr>
              <w:t>发射高度</w:t>
            </w:r>
          </w:p>
        </w:tc>
        <w:tc>
          <w:tcPr>
            <w:tcW w:w="2841" w:type="dxa"/>
            <w:vAlign w:val="center"/>
          </w:tcPr>
          <w:p>
            <w:pPr>
              <w:snapToGrid w:val="0"/>
              <w:jc w:val="center"/>
              <w:rPr>
                <w:rFonts w:ascii="Times New Roman" w:hAnsi="Times New Roman" w:cs="宋体"/>
                <w:szCs w:val="21"/>
              </w:rPr>
            </w:pPr>
            <w:r>
              <w:rPr>
                <w:rFonts w:ascii="Times New Roman" w:hAnsi="Times New Roman" w:cs="宋体"/>
                <w:szCs w:val="21"/>
              </w:rPr>
              <w:t>GB 19593-2015</w:t>
            </w:r>
            <w:r>
              <w:rPr>
                <w:rFonts w:hint="eastAsia" w:ascii="Times New Roman" w:hAnsi="Times New Roman"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360" w:lineRule="auto"/>
              <w:jc w:val="center"/>
              <w:rPr>
                <w:rFonts w:ascii="Times New Roman" w:hAnsi="Times New Roman" w:cs="宋体"/>
                <w:szCs w:val="21"/>
              </w:rPr>
            </w:pPr>
            <w:r>
              <w:rPr>
                <w:rFonts w:hint="eastAsia" w:ascii="Times New Roman" w:hAnsi="Times New Roman" w:cs="宋体"/>
                <w:szCs w:val="21"/>
              </w:rPr>
              <w:t>15</w:t>
            </w:r>
          </w:p>
        </w:tc>
        <w:tc>
          <w:tcPr>
            <w:tcW w:w="1275" w:type="dxa"/>
            <w:gridSpan w:val="2"/>
            <w:vMerge w:val="continue"/>
            <w:vAlign w:val="center"/>
          </w:tcPr>
          <w:p>
            <w:pPr>
              <w:snapToGrid w:val="0"/>
              <w:spacing w:line="360" w:lineRule="auto"/>
              <w:jc w:val="center"/>
              <w:rPr>
                <w:rFonts w:ascii="Times New Roman" w:hAnsi="Times New Roman" w:cs="宋体"/>
                <w:szCs w:val="21"/>
              </w:rPr>
            </w:pPr>
          </w:p>
        </w:tc>
        <w:tc>
          <w:tcPr>
            <w:tcW w:w="3305" w:type="dxa"/>
            <w:gridSpan w:val="2"/>
            <w:vAlign w:val="center"/>
          </w:tcPr>
          <w:p>
            <w:pPr>
              <w:snapToGrid w:val="0"/>
              <w:jc w:val="center"/>
              <w:rPr>
                <w:rFonts w:ascii="Times New Roman" w:hAnsi="Times New Roman" w:cs="宋体"/>
                <w:szCs w:val="21"/>
              </w:rPr>
            </w:pPr>
            <w:r>
              <w:rPr>
                <w:rFonts w:hint="eastAsia" w:ascii="Times New Roman" w:hAnsi="宋体" w:cs="宋体"/>
                <w:szCs w:val="21"/>
              </w:rPr>
              <w:t>声级值</w:t>
            </w:r>
          </w:p>
        </w:tc>
        <w:tc>
          <w:tcPr>
            <w:tcW w:w="2841" w:type="dxa"/>
            <w:vAlign w:val="center"/>
          </w:tcPr>
          <w:p>
            <w:pPr>
              <w:snapToGrid w:val="0"/>
              <w:jc w:val="center"/>
              <w:rPr>
                <w:rFonts w:ascii="Times New Roman" w:hAnsi="Times New Roman" w:cs="宋体"/>
                <w:szCs w:val="21"/>
              </w:rPr>
            </w:pPr>
            <w:r>
              <w:rPr>
                <w:rFonts w:ascii="Times New Roman" w:hAnsi="Times New Roman" w:cs="宋体"/>
                <w:szCs w:val="21"/>
              </w:rPr>
              <w:t>GB 19593-2015</w:t>
            </w:r>
            <w:r>
              <w:rPr>
                <w:rFonts w:hint="eastAsia" w:ascii="Times New Roman" w:hAnsi="Times New Roman"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rPr>
                <w:rFonts w:ascii="Times New Roman" w:hAnsi="Times New Roman"/>
              </w:rPr>
            </w:pPr>
            <w:r>
              <w:rPr>
                <w:rFonts w:hint="eastAsia" w:ascii="Times New Roman"/>
              </w:rPr>
              <w:t>注：</w:t>
            </w:r>
            <w:r>
              <w:rPr>
                <w:rFonts w:hint="eastAsia" w:ascii="Times New Roman" w:hAnsi="Times New Roman"/>
              </w:rPr>
              <w:t>1</w:t>
            </w:r>
            <w:r>
              <w:rPr>
                <w:rFonts w:hint="eastAsia" w:ascii="Times New Roman"/>
              </w:rPr>
              <w:t>、标志仅检测厂名、厂址、产品名称、燃放说明、警示语和字体高度。</w:t>
            </w:r>
          </w:p>
          <w:p>
            <w:pPr>
              <w:ind w:firstLine="420" w:firstLineChars="200"/>
              <w:rPr>
                <w:rFonts w:ascii="Times New Roman" w:hAnsi="Times New Roman"/>
              </w:rPr>
            </w:pPr>
            <w:r>
              <w:rPr>
                <w:rFonts w:hint="eastAsia" w:ascii="Times New Roman" w:hAnsi="Times New Roman"/>
              </w:rPr>
              <w:t>2</w:t>
            </w:r>
            <w:r>
              <w:rPr>
                <w:rFonts w:hint="eastAsia" w:ascii="Times New Roman"/>
              </w:rPr>
              <w:t>、外观仅检测重霉变、主体严重变形，开裂。</w:t>
            </w:r>
          </w:p>
          <w:p>
            <w:pPr>
              <w:ind w:firstLine="420" w:firstLineChars="200"/>
              <w:rPr>
                <w:rFonts w:ascii="Times New Roman" w:hAnsi="Times New Roman" w:eastAsia="方正仿宋_GBK" w:cs="方正仿宋_GBK"/>
                <w:sz w:val="18"/>
                <w:szCs w:val="18"/>
              </w:rPr>
            </w:pPr>
            <w:r>
              <w:rPr>
                <w:rFonts w:hint="eastAsia" w:ascii="Times New Roman" w:hAnsi="Times New Roman"/>
              </w:rPr>
              <w:t>3</w:t>
            </w:r>
            <w:r>
              <w:rPr>
                <w:rFonts w:hint="eastAsia" w:ascii="Times New Roman"/>
              </w:rPr>
              <w:t>、药量不检验开包药药量；仅检测单筒（发）药量。</w:t>
            </w:r>
          </w:p>
        </w:tc>
      </w:tr>
    </w:tbl>
    <w:p>
      <w:pPr>
        <w:snapToGrid w:val="0"/>
        <w:spacing w:beforeLines="50" w:afterLines="50" w:line="440" w:lineRule="exact"/>
        <w:ind w:firstLine="403" w:firstLineChars="192"/>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 </w:t>
      </w:r>
      <w:r>
        <w:rPr>
          <w:rFonts w:ascii="Times New Roman" w:hAnsi="Times New Roman"/>
          <w:szCs w:val="21"/>
        </w:rPr>
        <w:t>烟花爆竹（除组合烟花外产品）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992"/>
        <w:gridCol w:w="1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序号</w:t>
            </w:r>
          </w:p>
        </w:tc>
        <w:tc>
          <w:tcPr>
            <w:tcW w:w="4580" w:type="dxa"/>
            <w:gridSpan w:val="3"/>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检验项目</w:t>
            </w:r>
          </w:p>
        </w:tc>
        <w:tc>
          <w:tcPr>
            <w:tcW w:w="2841" w:type="dxa"/>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w:t>
            </w:r>
          </w:p>
        </w:tc>
        <w:tc>
          <w:tcPr>
            <w:tcW w:w="4580" w:type="dxa"/>
            <w:gridSpan w:val="3"/>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标志</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2</w:t>
            </w:r>
          </w:p>
        </w:tc>
        <w:tc>
          <w:tcPr>
            <w:tcW w:w="4580" w:type="dxa"/>
            <w:gridSpan w:val="3"/>
            <w:vAlign w:val="center"/>
          </w:tcPr>
          <w:p>
            <w:pPr>
              <w:widowControl/>
              <w:spacing w:beforeLines="50" w:line="360" w:lineRule="auto"/>
              <w:jc w:val="center"/>
              <w:rPr>
                <w:rFonts w:ascii="Times New Roman" w:hAnsi="Times New Roman" w:cs="宋体"/>
                <w:szCs w:val="21"/>
              </w:rPr>
            </w:pPr>
            <w:r>
              <w:rPr>
                <w:rFonts w:ascii="Times New Roman" w:hAnsi="宋体" w:cs="宋体"/>
                <w:szCs w:val="21"/>
              </w:rPr>
              <w:t>包装</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3</w:t>
            </w:r>
          </w:p>
        </w:tc>
        <w:tc>
          <w:tcPr>
            <w:tcW w:w="4580" w:type="dxa"/>
            <w:gridSpan w:val="3"/>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外观</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4</w:t>
            </w:r>
          </w:p>
        </w:tc>
        <w:tc>
          <w:tcPr>
            <w:tcW w:w="1984" w:type="dxa"/>
            <w:vMerge w:val="restart"/>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部件</w:t>
            </w:r>
          </w:p>
        </w:tc>
        <w:tc>
          <w:tcPr>
            <w:tcW w:w="2596" w:type="dxa"/>
            <w:gridSpan w:val="2"/>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部件牢固性</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5</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992" w:type="dxa"/>
            <w:vMerge w:val="restart"/>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引燃</w:t>
            </w:r>
          </w:p>
          <w:p>
            <w:pPr>
              <w:widowControl/>
              <w:spacing w:beforeLines="50" w:line="360" w:lineRule="auto"/>
              <w:jc w:val="center"/>
              <w:rPr>
                <w:rFonts w:ascii="Times New Roman" w:hAnsi="Times New Roman" w:cs="宋体"/>
                <w:szCs w:val="21"/>
              </w:rPr>
            </w:pPr>
            <w:r>
              <w:rPr>
                <w:rFonts w:hint="eastAsia" w:ascii="Times New Roman" w:hAnsi="宋体" w:cs="宋体"/>
                <w:szCs w:val="21"/>
              </w:rPr>
              <w:t>装置</w:t>
            </w:r>
          </w:p>
        </w:tc>
        <w:tc>
          <w:tcPr>
            <w:tcW w:w="1604" w:type="dxa"/>
            <w:vAlign w:val="center"/>
          </w:tcPr>
          <w:p>
            <w:pPr>
              <w:snapToGrid w:val="0"/>
              <w:jc w:val="center"/>
              <w:rPr>
                <w:rFonts w:ascii="Times New Roman" w:hAnsi="Times New Roman" w:cs="宋体"/>
                <w:szCs w:val="21"/>
              </w:rPr>
            </w:pPr>
            <w:r>
              <w:rPr>
                <w:rFonts w:hint="eastAsia" w:ascii="Times New Roman" w:hAnsi="宋体" w:cs="宋体"/>
                <w:szCs w:val="21"/>
              </w:rPr>
              <w:t>引火线</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6</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992" w:type="dxa"/>
            <w:vMerge w:val="continue"/>
            <w:vAlign w:val="center"/>
          </w:tcPr>
          <w:p>
            <w:pPr>
              <w:widowControl/>
              <w:spacing w:beforeLines="50" w:line="360" w:lineRule="auto"/>
              <w:jc w:val="center"/>
              <w:rPr>
                <w:rFonts w:ascii="Times New Roman" w:hAnsi="Times New Roman" w:cs="宋体"/>
                <w:szCs w:val="21"/>
              </w:rPr>
            </w:pPr>
          </w:p>
        </w:tc>
        <w:tc>
          <w:tcPr>
            <w:tcW w:w="1604" w:type="dxa"/>
            <w:vAlign w:val="center"/>
          </w:tcPr>
          <w:p>
            <w:pPr>
              <w:snapToGrid w:val="0"/>
              <w:jc w:val="center"/>
              <w:rPr>
                <w:rFonts w:ascii="Times New Roman" w:hAnsi="Times New Roman" w:cs="宋体"/>
                <w:szCs w:val="21"/>
              </w:rPr>
            </w:pPr>
            <w:r>
              <w:rPr>
                <w:rFonts w:hint="eastAsia" w:ascii="Times New Roman" w:hAnsi="宋体" w:cs="宋体"/>
                <w:szCs w:val="21"/>
              </w:rPr>
              <w:t>引火线牢固性</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7</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992" w:type="dxa"/>
            <w:vMerge w:val="continue"/>
            <w:vAlign w:val="center"/>
          </w:tcPr>
          <w:p>
            <w:pPr>
              <w:widowControl/>
              <w:spacing w:beforeLines="50" w:line="360" w:lineRule="auto"/>
              <w:jc w:val="center"/>
              <w:rPr>
                <w:rFonts w:ascii="Times New Roman" w:hAnsi="Times New Roman" w:cs="宋体"/>
                <w:szCs w:val="21"/>
              </w:rPr>
            </w:pPr>
          </w:p>
        </w:tc>
        <w:tc>
          <w:tcPr>
            <w:tcW w:w="1604" w:type="dxa"/>
            <w:vAlign w:val="center"/>
          </w:tcPr>
          <w:p>
            <w:pPr>
              <w:snapToGrid w:val="0"/>
              <w:jc w:val="center"/>
              <w:rPr>
                <w:rFonts w:ascii="Times New Roman" w:hAnsi="Times New Roman" w:cs="宋体"/>
                <w:szCs w:val="21"/>
              </w:rPr>
            </w:pPr>
            <w:r>
              <w:rPr>
                <w:rFonts w:hint="eastAsia" w:ascii="Times New Roman" w:hAnsi="宋体" w:cs="宋体"/>
                <w:szCs w:val="21"/>
              </w:rPr>
              <w:t>引燃时间</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8</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手持部位</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9</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封头、封底</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 xml:space="preserve">GB </w:t>
            </w:r>
            <w:r>
              <w:rPr>
                <w:rFonts w:hint="eastAsia" w:ascii="Times New Roman" w:hAnsi="Times New Roman" w:cs="宋体"/>
                <w:szCs w:val="21"/>
              </w:rPr>
              <w:t>21555</w:t>
            </w:r>
            <w:r>
              <w:rPr>
                <w:rFonts w:ascii="Times New Roman" w:hAnsi="Times New Roman" w:cs="宋体"/>
                <w:szCs w:val="21"/>
              </w:rPr>
              <w:t>-20</w:t>
            </w:r>
            <w:r>
              <w:rPr>
                <w:rFonts w:hint="eastAsia" w:ascii="Times New Roman" w:hAnsi="Times New Roman"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10</w:t>
            </w:r>
          </w:p>
        </w:tc>
        <w:tc>
          <w:tcPr>
            <w:tcW w:w="1984" w:type="dxa"/>
            <w:vMerge w:val="restart"/>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结构与材质</w:t>
            </w:r>
          </w:p>
        </w:tc>
        <w:tc>
          <w:tcPr>
            <w:tcW w:w="2596" w:type="dxa"/>
            <w:gridSpan w:val="2"/>
            <w:vAlign w:val="center"/>
          </w:tcPr>
          <w:p>
            <w:pPr>
              <w:snapToGrid w:val="0"/>
              <w:jc w:val="center"/>
              <w:rPr>
                <w:rFonts w:ascii="Times New Roman" w:hAnsi="Times New Roman" w:cs="宋体"/>
                <w:szCs w:val="21"/>
              </w:rPr>
            </w:pPr>
            <w:r>
              <w:rPr>
                <w:rFonts w:hint="eastAsia" w:ascii="Times New Roman" w:hAnsi="宋体" w:cs="宋体"/>
                <w:szCs w:val="21"/>
              </w:rPr>
              <w:t>材质</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11</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Times New Roman" w:cs="宋体"/>
                <w:szCs w:val="21"/>
              </w:rPr>
            </w:pPr>
            <w:r>
              <w:rPr>
                <w:rFonts w:hint="eastAsia" w:ascii="Times New Roman" w:hAnsi="宋体" w:cs="宋体"/>
                <w:szCs w:val="21"/>
              </w:rPr>
              <w:t>固引剂碎片</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12</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Times New Roman" w:cs="宋体"/>
                <w:szCs w:val="21"/>
              </w:rPr>
            </w:pPr>
            <w:r>
              <w:rPr>
                <w:rFonts w:hint="eastAsia" w:ascii="Times New Roman" w:hAnsi="宋体" w:cs="宋体"/>
                <w:szCs w:val="21"/>
              </w:rPr>
              <w:t>双响筒体尺寸</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 xml:space="preserve">GB </w:t>
            </w:r>
            <w:r>
              <w:rPr>
                <w:rFonts w:hint="eastAsia" w:ascii="Times New Roman" w:hAnsi="Times New Roman" w:cs="宋体"/>
                <w:szCs w:val="21"/>
              </w:rPr>
              <w:t>21555</w:t>
            </w:r>
            <w:r>
              <w:rPr>
                <w:rFonts w:ascii="Times New Roman" w:hAnsi="Times New Roman" w:cs="宋体"/>
                <w:szCs w:val="21"/>
              </w:rPr>
              <w:t>-20</w:t>
            </w:r>
            <w:r>
              <w:rPr>
                <w:rFonts w:hint="eastAsia" w:ascii="Times New Roman" w:hAnsi="Times New Roman"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13</w:t>
            </w:r>
          </w:p>
        </w:tc>
        <w:tc>
          <w:tcPr>
            <w:tcW w:w="4580" w:type="dxa"/>
            <w:gridSpan w:val="3"/>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药种（氯酸盐）</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14</w:t>
            </w:r>
          </w:p>
        </w:tc>
        <w:tc>
          <w:tcPr>
            <w:tcW w:w="4580" w:type="dxa"/>
            <w:gridSpan w:val="3"/>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药量</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15</w:t>
            </w:r>
          </w:p>
        </w:tc>
        <w:tc>
          <w:tcPr>
            <w:tcW w:w="1984" w:type="dxa"/>
            <w:vMerge w:val="restart"/>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燃放性能</w:t>
            </w:r>
          </w:p>
        </w:tc>
        <w:tc>
          <w:tcPr>
            <w:tcW w:w="2596" w:type="dxa"/>
            <w:gridSpan w:val="2"/>
            <w:vAlign w:val="center"/>
          </w:tcPr>
          <w:p>
            <w:pPr>
              <w:widowControl/>
              <w:spacing w:beforeLines="50" w:line="360" w:lineRule="auto"/>
              <w:jc w:val="center"/>
              <w:rPr>
                <w:rFonts w:ascii="Times New Roman" w:hAnsi="Times New Roman" w:cs="宋体"/>
                <w:szCs w:val="21"/>
              </w:rPr>
            </w:pPr>
            <w:r>
              <w:rPr>
                <w:rFonts w:hint="eastAsia" w:ascii="Times New Roman" w:hAnsi="宋体" w:cs="宋体"/>
                <w:szCs w:val="21"/>
              </w:rPr>
              <w:t>燃放缺陷</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16</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Times New Roman" w:cs="宋体"/>
                <w:szCs w:val="21"/>
              </w:rPr>
            </w:pPr>
            <w:r>
              <w:rPr>
                <w:rFonts w:hint="eastAsia" w:ascii="Times New Roman" w:hAnsi="宋体"/>
                <w:szCs w:val="21"/>
              </w:rPr>
              <w:t>线香类产品</w:t>
            </w:r>
            <w:r>
              <w:rPr>
                <w:rFonts w:hint="eastAsia" w:ascii="Times New Roman" w:hAnsi="Times New Roman"/>
                <w:szCs w:val="21"/>
              </w:rPr>
              <w:t>-</w:t>
            </w:r>
            <w:r>
              <w:rPr>
                <w:rFonts w:hint="eastAsia" w:ascii="Times New Roman" w:hAnsi="宋体"/>
                <w:szCs w:val="21"/>
              </w:rPr>
              <w:t>燃放高度</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17</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Times New Roman" w:cs="宋体"/>
                <w:szCs w:val="21"/>
              </w:rPr>
            </w:pPr>
            <w:r>
              <w:rPr>
                <w:rFonts w:hint="eastAsia" w:ascii="Times New Roman" w:hAnsi="宋体"/>
                <w:szCs w:val="21"/>
              </w:rPr>
              <w:t>玩具类产品</w:t>
            </w:r>
            <w:r>
              <w:rPr>
                <w:rFonts w:hint="eastAsia" w:ascii="Times New Roman" w:hAnsi="Times New Roman"/>
                <w:szCs w:val="21"/>
              </w:rPr>
              <w:t>-</w:t>
            </w:r>
            <w:r>
              <w:rPr>
                <w:rFonts w:hint="eastAsia" w:ascii="Times New Roman" w:hAnsi="宋体"/>
                <w:szCs w:val="21"/>
              </w:rPr>
              <w:t>行走距离</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18</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Times New Roman" w:cs="宋体"/>
                <w:szCs w:val="21"/>
              </w:rPr>
            </w:pPr>
            <w:r>
              <w:rPr>
                <w:rFonts w:hint="eastAsia" w:ascii="Times New Roman" w:hAnsi="宋体" w:cs="宋体"/>
                <w:szCs w:val="21"/>
              </w:rPr>
              <w:t>计数类产品烧成率</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19</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宋体"/>
                <w:szCs w:val="21"/>
              </w:rPr>
            </w:pPr>
            <w:r>
              <w:rPr>
                <w:rFonts w:hint="eastAsia" w:ascii="Times New Roman" w:hAnsi="宋体"/>
                <w:szCs w:val="21"/>
              </w:rPr>
              <w:t>计数类产品计量误差</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20</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hd w:val="clear" w:color="auto" w:fill="FFFFFF"/>
              <w:spacing w:line="300" w:lineRule="exact"/>
              <w:jc w:val="center"/>
              <w:rPr>
                <w:rFonts w:ascii="Times New Roman" w:hAnsi="宋体"/>
                <w:szCs w:val="21"/>
              </w:rPr>
            </w:pPr>
            <w:r>
              <w:rPr>
                <w:rFonts w:hint="eastAsia" w:ascii="Times New Roman" w:hAnsi="宋体"/>
                <w:szCs w:val="21"/>
              </w:rPr>
              <w:t>旋转类产品飞离地面高度</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21</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hd w:val="clear" w:color="auto" w:fill="FFFFFF"/>
              <w:spacing w:line="300" w:lineRule="exact"/>
              <w:jc w:val="center"/>
              <w:rPr>
                <w:rFonts w:ascii="Times New Roman" w:hAnsi="宋体"/>
                <w:szCs w:val="21"/>
              </w:rPr>
            </w:pPr>
            <w:r>
              <w:rPr>
                <w:rFonts w:hint="eastAsia" w:ascii="Times New Roman" w:hAnsi="宋体"/>
                <w:szCs w:val="21"/>
              </w:rPr>
              <w:t>旋转类产品旋转直径范围</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22</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宋体"/>
                <w:szCs w:val="21"/>
              </w:rPr>
            </w:pPr>
            <w:r>
              <w:rPr>
                <w:rFonts w:hint="eastAsia" w:ascii="Times New Roman" w:hAnsi="宋体"/>
                <w:szCs w:val="21"/>
              </w:rPr>
              <w:t>喷射高度</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beforeLines="50" w:line="360" w:lineRule="auto"/>
              <w:jc w:val="center"/>
              <w:rPr>
                <w:rFonts w:ascii="Times New Roman" w:hAnsi="Times New Roman" w:cs="宋体"/>
                <w:szCs w:val="21"/>
              </w:rPr>
            </w:pPr>
            <w:r>
              <w:rPr>
                <w:rFonts w:hint="eastAsia" w:ascii="Times New Roman" w:hAnsi="Times New Roman" w:cs="宋体"/>
                <w:szCs w:val="21"/>
              </w:rPr>
              <w:t>23</w:t>
            </w:r>
          </w:p>
        </w:tc>
        <w:tc>
          <w:tcPr>
            <w:tcW w:w="1984" w:type="dxa"/>
            <w:vMerge w:val="continue"/>
            <w:vAlign w:val="center"/>
          </w:tcPr>
          <w:p>
            <w:pPr>
              <w:widowControl/>
              <w:spacing w:beforeLines="50" w:line="360" w:lineRule="auto"/>
              <w:jc w:val="center"/>
              <w:rPr>
                <w:rFonts w:ascii="Times New Roman" w:hAnsi="Times New Roman" w:cs="宋体"/>
                <w:szCs w:val="21"/>
              </w:rPr>
            </w:pPr>
          </w:p>
        </w:tc>
        <w:tc>
          <w:tcPr>
            <w:tcW w:w="2596" w:type="dxa"/>
            <w:gridSpan w:val="2"/>
            <w:vAlign w:val="center"/>
          </w:tcPr>
          <w:p>
            <w:pPr>
              <w:snapToGrid w:val="0"/>
              <w:jc w:val="center"/>
              <w:rPr>
                <w:rFonts w:ascii="Times New Roman" w:hAnsi="宋体"/>
                <w:szCs w:val="21"/>
              </w:rPr>
            </w:pPr>
            <w:r>
              <w:rPr>
                <w:rFonts w:hint="eastAsia" w:ascii="Times New Roman" w:hAnsi="宋体"/>
                <w:szCs w:val="21"/>
              </w:rPr>
              <w:t>声级值</w:t>
            </w:r>
          </w:p>
        </w:tc>
        <w:tc>
          <w:tcPr>
            <w:tcW w:w="2841" w:type="dxa"/>
            <w:vAlign w:val="center"/>
          </w:tcPr>
          <w:p>
            <w:pPr>
              <w:widowControl/>
              <w:spacing w:beforeLines="50" w:line="360" w:lineRule="auto"/>
              <w:jc w:val="center"/>
              <w:rPr>
                <w:rFonts w:ascii="Times New Roman" w:hAnsi="Times New Roman" w:cs="宋体"/>
                <w:szCs w:val="21"/>
              </w:rPr>
            </w:pPr>
            <w:r>
              <w:rPr>
                <w:rFonts w:ascii="Times New Roman" w:hAnsi="Times New Roman" w:cs="宋体"/>
                <w:szCs w:val="21"/>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rPr>
                <w:rFonts w:ascii="Times New Roman" w:hAnsi="Times New Roman"/>
              </w:rPr>
            </w:pPr>
            <w:r>
              <w:rPr>
                <w:rFonts w:hint="eastAsia" w:ascii="Times New Roman"/>
              </w:rPr>
              <w:t>注：</w:t>
            </w:r>
            <w:r>
              <w:rPr>
                <w:rFonts w:hint="eastAsia" w:ascii="Times New Roman" w:hAnsi="Times New Roman"/>
              </w:rPr>
              <w:t>1</w:t>
            </w:r>
            <w:r>
              <w:rPr>
                <w:rFonts w:hint="eastAsia" w:ascii="Times New Roman"/>
              </w:rPr>
              <w:t>、标志仅检测厂名、厂址、产品名称、燃放说明、警示语。</w:t>
            </w:r>
          </w:p>
          <w:p>
            <w:pPr>
              <w:ind w:firstLine="420" w:firstLineChars="200"/>
              <w:rPr>
                <w:rFonts w:ascii="Times New Roman" w:hAnsi="Times New Roman"/>
              </w:rPr>
            </w:pPr>
            <w:r>
              <w:rPr>
                <w:rFonts w:hint="eastAsia" w:ascii="Times New Roman" w:hAnsi="Times New Roman"/>
              </w:rPr>
              <w:t>2</w:t>
            </w:r>
            <w:r>
              <w:rPr>
                <w:rFonts w:hint="eastAsia" w:ascii="Times New Roman"/>
              </w:rPr>
              <w:t>、外观仅检测重霉变、主体严重变形，开裂。</w:t>
            </w:r>
          </w:p>
          <w:p>
            <w:pPr>
              <w:ind w:firstLine="405"/>
              <w:rPr>
                <w:rFonts w:ascii="Times New Roman" w:hAnsi="Times New Roman"/>
              </w:rPr>
            </w:pPr>
            <w:r>
              <w:rPr>
                <w:rFonts w:hint="eastAsia" w:ascii="Times New Roman" w:hAnsi="Times New Roman"/>
              </w:rPr>
              <w:t>3</w:t>
            </w:r>
            <w:r>
              <w:rPr>
                <w:rFonts w:hint="eastAsia" w:ascii="Times New Roman"/>
              </w:rPr>
              <w:t>、序号</w:t>
            </w:r>
            <w:r>
              <w:rPr>
                <w:rFonts w:hint="eastAsia" w:ascii="Times New Roman" w:hAnsi="Times New Roman"/>
              </w:rPr>
              <w:t>8</w:t>
            </w:r>
            <w:r>
              <w:rPr>
                <w:rFonts w:hint="eastAsia" w:ascii="Times New Roman"/>
              </w:rPr>
              <w:t>仅适用于手持烟花爆竹类产品。</w:t>
            </w:r>
          </w:p>
          <w:p>
            <w:pPr>
              <w:ind w:firstLine="405"/>
              <w:rPr>
                <w:rFonts w:ascii="Times New Roman" w:hAnsi="Times New Roman"/>
              </w:rPr>
            </w:pPr>
            <w:r>
              <w:rPr>
                <w:rFonts w:hint="eastAsia" w:ascii="Times New Roman" w:hAnsi="Times New Roman"/>
              </w:rPr>
              <w:t>4</w:t>
            </w:r>
            <w:r>
              <w:rPr>
                <w:rFonts w:hint="eastAsia" w:ascii="Times New Roman"/>
              </w:rPr>
              <w:t>、序号</w:t>
            </w:r>
            <w:r>
              <w:rPr>
                <w:rFonts w:hint="eastAsia" w:ascii="Times New Roman" w:hAnsi="Times New Roman"/>
              </w:rPr>
              <w:t>18</w:t>
            </w:r>
            <w:r>
              <w:rPr>
                <w:rFonts w:hint="eastAsia" w:ascii="Times New Roman"/>
              </w:rPr>
              <w:t>、</w:t>
            </w:r>
            <w:r>
              <w:rPr>
                <w:rFonts w:hint="eastAsia" w:ascii="Times New Roman" w:hAnsi="Times New Roman"/>
              </w:rPr>
              <w:t>19</w:t>
            </w:r>
            <w:r>
              <w:rPr>
                <w:rFonts w:hint="eastAsia" w:ascii="Times New Roman"/>
              </w:rPr>
              <w:t>项仅适用于爆竹类。</w:t>
            </w:r>
          </w:p>
        </w:tc>
      </w:tr>
    </w:tbl>
    <w:p>
      <w:pPr>
        <w:adjustRightInd w:val="0"/>
        <w:ind w:firstLine="420" w:firstLineChars="200"/>
        <w:rPr>
          <w:rFonts w:ascii="Times New Roman" w:hAnsi="Times New Roman"/>
          <w:color w:val="000000"/>
          <w:szCs w:val="21"/>
        </w:rPr>
      </w:pPr>
    </w:p>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执行企业标准、团体标准、地方标准的产品，检验项目参照上述内容执行。</w:t>
      </w:r>
    </w:p>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凡是注日期的文件，其随后所有的修改单（不包括勘误的内容）或修订版不适用于本细则。凡是不注日期的文件，其最新版本适用于本细则。</w:t>
      </w:r>
    </w:p>
    <w:p>
      <w:pPr>
        <w:spacing w:line="440" w:lineRule="exact"/>
        <w:rPr>
          <w:rFonts w:ascii="Times New Roman" w:hAnsi="Times New Roman" w:eastAsia="黑体"/>
          <w:szCs w:val="21"/>
        </w:rPr>
      </w:pPr>
      <w:r>
        <w:rPr>
          <w:rFonts w:hint="eastAsia" w:ascii="Times New Roman" w:hAnsi="Times New Roman" w:eastAsia="黑体"/>
          <w:szCs w:val="21"/>
        </w:rPr>
        <w:t>3 判定规则</w:t>
      </w:r>
    </w:p>
    <w:p>
      <w:pPr>
        <w:snapToGrid w:val="0"/>
        <w:spacing w:line="440" w:lineRule="exact"/>
        <w:rPr>
          <w:rFonts w:ascii="Times New Roman" w:hAnsi="Times New Roman"/>
          <w:szCs w:val="21"/>
        </w:rPr>
      </w:pPr>
      <w:r>
        <w:rPr>
          <w:rFonts w:hint="eastAsia" w:ascii="Times New Roman" w:hAnsi="Times New Roman"/>
          <w:szCs w:val="21"/>
        </w:rPr>
        <w:t>3.1依据标准</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10631-2013      《烟花爆竹 安全与质量》</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GB/T 10632-2014    《烟花爆竹 抽样检查规则》</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19593-2015      《烟花爆竹 组合烟花》</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GB 21555-2008      《烟花爆竹 双响》</w:t>
      </w:r>
    </w:p>
    <w:p>
      <w:pPr>
        <w:snapToGrid w:val="0"/>
        <w:spacing w:line="440" w:lineRule="exact"/>
        <w:ind w:firstLine="420" w:firstLineChars="200"/>
        <w:rPr>
          <w:rFonts w:ascii="Times New Roman" w:hAnsi="Times New Roman"/>
          <w:szCs w:val="21"/>
        </w:rPr>
      </w:pPr>
      <w:r>
        <w:rPr>
          <w:rFonts w:hint="eastAsia" w:ascii="Times New Roman" w:hAnsi="Times New Roman"/>
          <w:szCs w:val="21"/>
        </w:rPr>
        <w:t>CCGF 306.4-2015    《烟花爆竹 产品质量监督抽查实施规范》</w:t>
      </w:r>
    </w:p>
    <w:p>
      <w:pPr>
        <w:snapToGrid w:val="0"/>
        <w:spacing w:line="440" w:lineRule="exact"/>
        <w:ind w:firstLine="420" w:firstLineChars="200"/>
        <w:rPr>
          <w:rFonts w:ascii="Times New Roman" w:hAnsi="Times New Roman"/>
          <w:szCs w:val="21"/>
        </w:rPr>
      </w:pPr>
      <w:r>
        <w:rPr>
          <w:rFonts w:ascii="Times New Roman" w:hAnsi="Times New Roman"/>
          <w:szCs w:val="21"/>
        </w:rPr>
        <w:t>现行有效的企业标准、团体标准、地方标准及产品明示质量要求</w:t>
      </w:r>
    </w:p>
    <w:p>
      <w:pPr>
        <w:snapToGrid w:val="0"/>
        <w:spacing w:line="440" w:lineRule="exact"/>
        <w:rPr>
          <w:rFonts w:ascii="Times New Roman" w:hAnsi="Times New Roman"/>
          <w:szCs w:val="21"/>
        </w:rPr>
      </w:pPr>
      <w:r>
        <w:rPr>
          <w:rFonts w:hint="eastAsia" w:ascii="Times New Roman" w:hAnsi="Times New Roman"/>
          <w:szCs w:val="21"/>
        </w:rPr>
        <w:t>3.2判定原则</w:t>
      </w:r>
    </w:p>
    <w:p>
      <w:pPr>
        <w:snapToGrid w:val="0"/>
        <w:spacing w:line="440" w:lineRule="exact"/>
        <w:ind w:firstLine="420" w:firstLineChars="200"/>
        <w:rPr>
          <w:rFonts w:ascii="Times New Roman" w:hAnsi="Times New Roman"/>
          <w:szCs w:val="21"/>
        </w:rPr>
      </w:pPr>
      <w:r>
        <w:rPr>
          <w:rFonts w:ascii="Times New Roman" w:hAnsi="Times New Roman"/>
          <w:szCs w:val="21"/>
        </w:rPr>
        <w:t>经检验，检验项目全部合格，判定为被抽查产品合格；检验项目中任一项或一项以上不合格，判定为被抽查产品不合格。</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Times New Roman" w:hAnsi="Times New Roman"/>
          <w:szCs w:val="21"/>
        </w:rPr>
      </w:pPr>
      <w:r>
        <w:rPr>
          <w:rFonts w:ascii="Times New Roman" w:hAnsi="Times New Roman"/>
          <w:szCs w:val="21"/>
        </w:rPr>
        <w:t>若被检产品明示的质量要求缺少本细则中检验项目依据的强制性标准要求时，应按照强制性标准要求判定。</w:t>
      </w:r>
    </w:p>
    <w:p>
      <w:pPr>
        <w:snapToGrid w:val="0"/>
        <w:spacing w:line="440" w:lineRule="exact"/>
        <w:ind w:firstLine="420" w:firstLineChars="200"/>
        <w:rPr>
          <w:rFonts w:ascii="Times New Roman" w:hAnsi="Times New Roman" w:eastAsia="仿宋_GB2312" w:cs="宋体"/>
          <w:color w:val="000000"/>
          <w:sz w:val="28"/>
          <w:szCs w:val="28"/>
        </w:rPr>
      </w:pPr>
      <w:r>
        <w:rPr>
          <w:rFonts w:ascii="Times New Roman" w:hAnsi="Times New Roman"/>
          <w:szCs w:val="21"/>
        </w:rPr>
        <w:t>若被检产品明示的质量要求缺少本细则中检验项目依据的推荐性标准要求时，该项目不参与判定，但应在检验报告备注中进行说明</w:t>
      </w:r>
      <w:r>
        <w:rPr>
          <w:rFonts w:hint="eastAsia" w:ascii="Times New Roman" w:hAnsi="Times New Roman"/>
          <w:szCs w:val="21"/>
        </w:rPr>
        <w:t>。</w:t>
      </w:r>
    </w:p>
    <w:sectPr>
      <w:footerReference r:id="rId3" w:type="default"/>
      <w:pgSz w:w="11906" w:h="16838"/>
      <w:pgMar w:top="1701" w:right="1644" w:bottom="1701" w:left="164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3C0041" w:csb1="A00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1B"/>
    <w:rsid w:val="000023BA"/>
    <w:rsid w:val="0000252F"/>
    <w:rsid w:val="000031F4"/>
    <w:rsid w:val="00022E91"/>
    <w:rsid w:val="00042673"/>
    <w:rsid w:val="00067FF6"/>
    <w:rsid w:val="000705B5"/>
    <w:rsid w:val="00073E0E"/>
    <w:rsid w:val="000842C2"/>
    <w:rsid w:val="00085325"/>
    <w:rsid w:val="000A40DD"/>
    <w:rsid w:val="000B031D"/>
    <w:rsid w:val="000B1436"/>
    <w:rsid w:val="000D1967"/>
    <w:rsid w:val="000E0F46"/>
    <w:rsid w:val="000F7746"/>
    <w:rsid w:val="001009ED"/>
    <w:rsid w:val="001239D8"/>
    <w:rsid w:val="00130BC2"/>
    <w:rsid w:val="00136170"/>
    <w:rsid w:val="00147949"/>
    <w:rsid w:val="00172D53"/>
    <w:rsid w:val="00185FC6"/>
    <w:rsid w:val="001B42A5"/>
    <w:rsid w:val="001B736C"/>
    <w:rsid w:val="001D500B"/>
    <w:rsid w:val="001D5D8B"/>
    <w:rsid w:val="001E33E7"/>
    <w:rsid w:val="001E578F"/>
    <w:rsid w:val="001E6DFD"/>
    <w:rsid w:val="001F286A"/>
    <w:rsid w:val="00231B61"/>
    <w:rsid w:val="00234140"/>
    <w:rsid w:val="0024332C"/>
    <w:rsid w:val="00253A12"/>
    <w:rsid w:val="0029514D"/>
    <w:rsid w:val="002A5BA5"/>
    <w:rsid w:val="002B0C54"/>
    <w:rsid w:val="002E167E"/>
    <w:rsid w:val="002E488E"/>
    <w:rsid w:val="00301471"/>
    <w:rsid w:val="00301C8E"/>
    <w:rsid w:val="00331320"/>
    <w:rsid w:val="00345842"/>
    <w:rsid w:val="00375DC8"/>
    <w:rsid w:val="00395A6F"/>
    <w:rsid w:val="00397D61"/>
    <w:rsid w:val="003B0C0F"/>
    <w:rsid w:val="003B53F8"/>
    <w:rsid w:val="003B6883"/>
    <w:rsid w:val="003C235D"/>
    <w:rsid w:val="003C47B3"/>
    <w:rsid w:val="003D1FDF"/>
    <w:rsid w:val="003E4C3B"/>
    <w:rsid w:val="004073D3"/>
    <w:rsid w:val="00407D72"/>
    <w:rsid w:val="004164B3"/>
    <w:rsid w:val="00422963"/>
    <w:rsid w:val="0045561C"/>
    <w:rsid w:val="00461E2B"/>
    <w:rsid w:val="00466D8E"/>
    <w:rsid w:val="00491EC3"/>
    <w:rsid w:val="004A265B"/>
    <w:rsid w:val="004A334A"/>
    <w:rsid w:val="004A73D7"/>
    <w:rsid w:val="004C4BC8"/>
    <w:rsid w:val="004D289F"/>
    <w:rsid w:val="004E21DD"/>
    <w:rsid w:val="00501F89"/>
    <w:rsid w:val="00513162"/>
    <w:rsid w:val="00514DF8"/>
    <w:rsid w:val="00527AB3"/>
    <w:rsid w:val="00547A44"/>
    <w:rsid w:val="00555682"/>
    <w:rsid w:val="00575028"/>
    <w:rsid w:val="005A3B5C"/>
    <w:rsid w:val="005A6208"/>
    <w:rsid w:val="005B367C"/>
    <w:rsid w:val="005B3FC7"/>
    <w:rsid w:val="005D3231"/>
    <w:rsid w:val="005D5E44"/>
    <w:rsid w:val="005E66DD"/>
    <w:rsid w:val="005F2E6A"/>
    <w:rsid w:val="005F755F"/>
    <w:rsid w:val="00600B90"/>
    <w:rsid w:val="00633AA1"/>
    <w:rsid w:val="00650011"/>
    <w:rsid w:val="00661299"/>
    <w:rsid w:val="006647F7"/>
    <w:rsid w:val="00676271"/>
    <w:rsid w:val="00690AC4"/>
    <w:rsid w:val="006A6878"/>
    <w:rsid w:val="006B2EB5"/>
    <w:rsid w:val="006B6303"/>
    <w:rsid w:val="006C11A7"/>
    <w:rsid w:val="006D145F"/>
    <w:rsid w:val="006E23E2"/>
    <w:rsid w:val="006E3B31"/>
    <w:rsid w:val="006F3F16"/>
    <w:rsid w:val="006F7C46"/>
    <w:rsid w:val="007114B4"/>
    <w:rsid w:val="00721E62"/>
    <w:rsid w:val="007316DA"/>
    <w:rsid w:val="00741BDA"/>
    <w:rsid w:val="007435C1"/>
    <w:rsid w:val="00743D1C"/>
    <w:rsid w:val="00746FA1"/>
    <w:rsid w:val="0075028F"/>
    <w:rsid w:val="00764644"/>
    <w:rsid w:val="007667BB"/>
    <w:rsid w:val="00771389"/>
    <w:rsid w:val="00771A30"/>
    <w:rsid w:val="00780B50"/>
    <w:rsid w:val="0079621B"/>
    <w:rsid w:val="007A455E"/>
    <w:rsid w:val="007A692A"/>
    <w:rsid w:val="007D0F03"/>
    <w:rsid w:val="00815FCC"/>
    <w:rsid w:val="008334F8"/>
    <w:rsid w:val="00846BE8"/>
    <w:rsid w:val="00850E69"/>
    <w:rsid w:val="00883927"/>
    <w:rsid w:val="00884893"/>
    <w:rsid w:val="00884A9A"/>
    <w:rsid w:val="008A0294"/>
    <w:rsid w:val="008A45B3"/>
    <w:rsid w:val="008C7950"/>
    <w:rsid w:val="008C7D9F"/>
    <w:rsid w:val="008D688C"/>
    <w:rsid w:val="00900FFE"/>
    <w:rsid w:val="00924471"/>
    <w:rsid w:val="009372FD"/>
    <w:rsid w:val="00981B15"/>
    <w:rsid w:val="009853C2"/>
    <w:rsid w:val="0099012B"/>
    <w:rsid w:val="00991ABE"/>
    <w:rsid w:val="009946AE"/>
    <w:rsid w:val="009C5CB9"/>
    <w:rsid w:val="00A36908"/>
    <w:rsid w:val="00A706A2"/>
    <w:rsid w:val="00A775F7"/>
    <w:rsid w:val="00A85138"/>
    <w:rsid w:val="00A87651"/>
    <w:rsid w:val="00A90BDC"/>
    <w:rsid w:val="00AB1569"/>
    <w:rsid w:val="00AC5727"/>
    <w:rsid w:val="00AC7B88"/>
    <w:rsid w:val="00AD7011"/>
    <w:rsid w:val="00B17418"/>
    <w:rsid w:val="00B17600"/>
    <w:rsid w:val="00B30567"/>
    <w:rsid w:val="00B417BA"/>
    <w:rsid w:val="00B53901"/>
    <w:rsid w:val="00B553BA"/>
    <w:rsid w:val="00B57045"/>
    <w:rsid w:val="00B60C05"/>
    <w:rsid w:val="00B61A0B"/>
    <w:rsid w:val="00B66C3C"/>
    <w:rsid w:val="00B927C9"/>
    <w:rsid w:val="00B92BFC"/>
    <w:rsid w:val="00BC717E"/>
    <w:rsid w:val="00C17C32"/>
    <w:rsid w:val="00C21355"/>
    <w:rsid w:val="00C340BA"/>
    <w:rsid w:val="00C4586F"/>
    <w:rsid w:val="00C70E5C"/>
    <w:rsid w:val="00C83FC9"/>
    <w:rsid w:val="00C840DE"/>
    <w:rsid w:val="00CB58C9"/>
    <w:rsid w:val="00CC4BC2"/>
    <w:rsid w:val="00CF66BC"/>
    <w:rsid w:val="00D00C17"/>
    <w:rsid w:val="00D10FAC"/>
    <w:rsid w:val="00D112F2"/>
    <w:rsid w:val="00D24916"/>
    <w:rsid w:val="00D36783"/>
    <w:rsid w:val="00D461CE"/>
    <w:rsid w:val="00D53D31"/>
    <w:rsid w:val="00D62DFD"/>
    <w:rsid w:val="00D74793"/>
    <w:rsid w:val="00D91E7A"/>
    <w:rsid w:val="00DA17D6"/>
    <w:rsid w:val="00DA1885"/>
    <w:rsid w:val="00DB23A2"/>
    <w:rsid w:val="00DE2532"/>
    <w:rsid w:val="00DF0143"/>
    <w:rsid w:val="00E02FFA"/>
    <w:rsid w:val="00E22812"/>
    <w:rsid w:val="00E35691"/>
    <w:rsid w:val="00E521A0"/>
    <w:rsid w:val="00E61E33"/>
    <w:rsid w:val="00E6283D"/>
    <w:rsid w:val="00E62BC3"/>
    <w:rsid w:val="00E6540B"/>
    <w:rsid w:val="00E73E2C"/>
    <w:rsid w:val="00E75370"/>
    <w:rsid w:val="00E87BCC"/>
    <w:rsid w:val="00EB3DDA"/>
    <w:rsid w:val="00EB58F9"/>
    <w:rsid w:val="00EE3DCE"/>
    <w:rsid w:val="00EE5CCF"/>
    <w:rsid w:val="00F01E0A"/>
    <w:rsid w:val="00F164F2"/>
    <w:rsid w:val="00F31D10"/>
    <w:rsid w:val="00F37080"/>
    <w:rsid w:val="00F438A4"/>
    <w:rsid w:val="00F76A02"/>
    <w:rsid w:val="00F836D8"/>
    <w:rsid w:val="00FA438D"/>
    <w:rsid w:val="00FA4A35"/>
    <w:rsid w:val="00FD0F38"/>
    <w:rsid w:val="00FE38E8"/>
    <w:rsid w:val="00FE768C"/>
    <w:rsid w:val="00FF1A7A"/>
    <w:rsid w:val="600D6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jc w:val="center"/>
      <w:outlineLvl w:val="0"/>
    </w:pPr>
    <w:rPr>
      <w:rFonts w:ascii="Times New Roman" w:hAnsi="Times New Roman" w:eastAsia="楷体_GB2312"/>
      <w:color w:val="000000"/>
      <w:sz w:val="28"/>
      <w:szCs w:val="28"/>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22"/>
    <w:semiHidden/>
    <w:unhideWhenUsed/>
    <w:uiPriority w:val="99"/>
    <w:pPr>
      <w:ind w:firstLine="420" w:firstLineChars="100"/>
    </w:pPr>
  </w:style>
  <w:style w:type="paragraph" w:styleId="4">
    <w:name w:val="Body Text"/>
    <w:basedOn w:val="1"/>
    <w:link w:val="21"/>
    <w:semiHidden/>
    <w:unhideWhenUsed/>
    <w:uiPriority w:val="99"/>
    <w:pPr>
      <w:spacing w:after="120"/>
    </w:pPr>
  </w:style>
  <w:style w:type="paragraph" w:styleId="5">
    <w:name w:val="Body Text Indent"/>
    <w:basedOn w:val="1"/>
    <w:link w:val="17"/>
    <w:uiPriority w:val="0"/>
    <w:pPr>
      <w:spacing w:line="520" w:lineRule="exact"/>
      <w:ind w:firstLine="200" w:firstLineChars="200"/>
    </w:pPr>
    <w:rPr>
      <w:rFonts w:ascii="Times New Roman" w:hAnsi="Times New Roman"/>
      <w:sz w:val="28"/>
      <w:szCs w:val="24"/>
    </w:rPr>
  </w:style>
  <w:style w:type="paragraph" w:styleId="6">
    <w:name w:val="Balloon Text"/>
    <w:basedOn w:val="1"/>
    <w:link w:val="16"/>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宋体"/>
    <w:basedOn w:val="1"/>
    <w:uiPriority w:val="0"/>
    <w:rPr>
      <w:rFonts w:ascii="Times New Roman" w:hAnsi="Times New Roman"/>
      <w:szCs w:val="24"/>
    </w:rPr>
  </w:style>
  <w:style w:type="character" w:customStyle="1" w:styleId="14">
    <w:name w:val="页眉 Char"/>
    <w:basedOn w:val="9"/>
    <w:link w:val="8"/>
    <w:uiPriority w:val="99"/>
    <w:rPr>
      <w:rFonts w:ascii="Calibri" w:hAnsi="Calibri" w:eastAsia="宋体" w:cs="Times New Roman"/>
      <w:sz w:val="18"/>
      <w:szCs w:val="18"/>
    </w:rPr>
  </w:style>
  <w:style w:type="character" w:customStyle="1" w:styleId="15">
    <w:name w:val="页脚 Char"/>
    <w:basedOn w:val="9"/>
    <w:link w:val="7"/>
    <w:uiPriority w:val="99"/>
    <w:rPr>
      <w:rFonts w:ascii="Calibri" w:hAnsi="Calibri" w:eastAsia="宋体" w:cs="Times New Roman"/>
      <w:sz w:val="18"/>
      <w:szCs w:val="18"/>
    </w:rPr>
  </w:style>
  <w:style w:type="character" w:customStyle="1" w:styleId="16">
    <w:name w:val="批注框文本 Char"/>
    <w:basedOn w:val="9"/>
    <w:link w:val="6"/>
    <w:semiHidden/>
    <w:uiPriority w:val="99"/>
    <w:rPr>
      <w:rFonts w:ascii="Calibri" w:hAnsi="Calibri" w:eastAsia="宋体" w:cs="Times New Roman"/>
      <w:sz w:val="18"/>
      <w:szCs w:val="18"/>
    </w:rPr>
  </w:style>
  <w:style w:type="character" w:customStyle="1" w:styleId="17">
    <w:name w:val="正文文本缩进 Char"/>
    <w:basedOn w:val="9"/>
    <w:link w:val="5"/>
    <w:uiPriority w:val="0"/>
    <w:rPr>
      <w:rFonts w:ascii="Times New Roman" w:hAnsi="Times New Roman" w:eastAsia="宋体" w:cs="Times New Roman"/>
      <w:sz w:val="28"/>
      <w:szCs w:val="24"/>
    </w:rPr>
  </w:style>
  <w:style w:type="character" w:customStyle="1" w:styleId="18">
    <w:name w:val="标题 1 Char"/>
    <w:basedOn w:val="9"/>
    <w:link w:val="2"/>
    <w:uiPriority w:val="0"/>
    <w:rPr>
      <w:rFonts w:ascii="Times New Roman" w:hAnsi="Times New Roman" w:eastAsia="楷体_GB2312" w:cs="Times New Roman"/>
      <w:color w:val="000000"/>
      <w:sz w:val="28"/>
      <w:szCs w:val="28"/>
    </w:rPr>
  </w:style>
  <w:style w:type="character" w:customStyle="1" w:styleId="19">
    <w:name w:val="段 Char"/>
    <w:link w:val="20"/>
    <w:uiPriority w:val="0"/>
    <w:rPr>
      <w:rFonts w:ascii="宋体" w:eastAsia="Times New Roman"/>
    </w:rPr>
  </w:style>
  <w:style w:type="paragraph" w:customStyle="1" w:styleId="20">
    <w:name w:val="段"/>
    <w:link w:val="19"/>
    <w:qFormat/>
    <w:uiPriority w:val="0"/>
    <w:pPr>
      <w:autoSpaceDE w:val="0"/>
      <w:autoSpaceDN w:val="0"/>
      <w:ind w:firstLine="200" w:firstLineChars="200"/>
      <w:jc w:val="both"/>
    </w:pPr>
    <w:rPr>
      <w:rFonts w:ascii="宋体" w:eastAsia="Times New Roman" w:hAnsiTheme="minorHAnsi" w:cstheme="minorBidi"/>
      <w:kern w:val="2"/>
      <w:sz w:val="21"/>
      <w:szCs w:val="22"/>
      <w:lang w:val="en-US" w:eastAsia="zh-CN" w:bidi="ar-SA"/>
    </w:rPr>
  </w:style>
  <w:style w:type="character" w:customStyle="1" w:styleId="21">
    <w:name w:val="正文文本 Char"/>
    <w:basedOn w:val="9"/>
    <w:link w:val="4"/>
    <w:semiHidden/>
    <w:uiPriority w:val="99"/>
    <w:rPr>
      <w:rFonts w:ascii="Calibri" w:hAnsi="Calibri" w:eastAsia="宋体" w:cs="Times New Roman"/>
    </w:rPr>
  </w:style>
  <w:style w:type="character" w:customStyle="1" w:styleId="22">
    <w:name w:val="正文首行缩进 Char"/>
    <w:basedOn w:val="21"/>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云海 技术</Company>
  <Pages>4</Pages>
  <Words>354</Words>
  <Characters>2024</Characters>
  <Lines>16</Lines>
  <Paragraphs>4</Paragraphs>
  <TotalTime>12</TotalTime>
  <ScaleCrop>false</ScaleCrop>
  <LinksUpToDate>false</LinksUpToDate>
  <CharactersWithSpaces>2374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2021-09-03T08:49:00Z</dcterms:created>
  <dc:creator>PC</dc:creator>
  <cp:lastModifiedBy>王艺霏</cp:lastModifiedBy>
  <cp:lastPrinted>2021-09-08T08:10:00Z</cp:lastPrinted>
  <dcterms:modified xsi:type="dcterms:W3CDTF">2021-09-14T06:24:21Z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