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30" w:rsidRDefault="00971D1A">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沈阳市流通领域办公椅产品质量监督抽查实施细则</w:t>
      </w:r>
    </w:p>
    <w:p w:rsidR="007B1930" w:rsidRDefault="007B1930">
      <w:pPr>
        <w:snapToGrid w:val="0"/>
        <w:spacing w:line="440" w:lineRule="exact"/>
        <w:rPr>
          <w:rFonts w:eastAsia="黑体"/>
          <w:szCs w:val="21"/>
        </w:rPr>
      </w:pPr>
    </w:p>
    <w:p w:rsidR="007B1930" w:rsidRDefault="00971D1A">
      <w:pPr>
        <w:snapToGrid w:val="0"/>
        <w:spacing w:line="440" w:lineRule="exact"/>
        <w:rPr>
          <w:rFonts w:eastAsia="黑体"/>
          <w:szCs w:val="21"/>
        </w:rPr>
      </w:pPr>
      <w:r>
        <w:rPr>
          <w:rFonts w:eastAsia="黑体"/>
          <w:szCs w:val="21"/>
        </w:rPr>
        <w:t xml:space="preserve">1 </w:t>
      </w:r>
      <w:r>
        <w:rPr>
          <w:rFonts w:eastAsia="黑体"/>
          <w:szCs w:val="21"/>
        </w:rPr>
        <w:t>抽样方法</w:t>
      </w:r>
    </w:p>
    <w:p w:rsidR="007B1930" w:rsidRDefault="00971D1A">
      <w:pPr>
        <w:snapToGrid w:val="0"/>
        <w:spacing w:line="440" w:lineRule="exact"/>
        <w:ind w:firstLineChars="200" w:firstLine="420"/>
        <w:rPr>
          <w:szCs w:val="21"/>
        </w:rPr>
      </w:pPr>
      <w:r>
        <w:rPr>
          <w:szCs w:val="21"/>
        </w:rPr>
        <w:t>以随机抽样的方式在被抽样</w:t>
      </w:r>
      <w:r>
        <w:rPr>
          <w:rFonts w:hint="eastAsia"/>
          <w:szCs w:val="21"/>
        </w:rPr>
        <w:t>销售</w:t>
      </w:r>
      <w:r>
        <w:rPr>
          <w:szCs w:val="21"/>
        </w:rPr>
        <w:t>者的待销产品中抽取。</w:t>
      </w:r>
    </w:p>
    <w:p w:rsidR="007B1930" w:rsidRDefault="00971D1A">
      <w:pPr>
        <w:snapToGrid w:val="0"/>
        <w:spacing w:line="440" w:lineRule="exact"/>
        <w:ind w:firstLineChars="200" w:firstLine="420"/>
        <w:rPr>
          <w:szCs w:val="21"/>
        </w:rPr>
      </w:pPr>
      <w:r>
        <w:rPr>
          <w:rFonts w:hint="eastAsia"/>
          <w:szCs w:val="21"/>
        </w:rPr>
        <w:t>随机数一般可使用随机数表、骰子或扑克牌等方法产生。</w:t>
      </w:r>
    </w:p>
    <w:p w:rsidR="007B1930" w:rsidRDefault="00971D1A">
      <w:pPr>
        <w:snapToGrid w:val="0"/>
        <w:spacing w:line="440" w:lineRule="exact"/>
        <w:ind w:firstLineChars="200" w:firstLine="420"/>
        <w:rPr>
          <w:szCs w:val="21"/>
        </w:rPr>
      </w:pPr>
      <w:r>
        <w:rPr>
          <w:rFonts w:hint="eastAsia"/>
          <w:szCs w:val="21"/>
        </w:rPr>
        <w:t>办公椅类产品每批次抽取样品</w:t>
      </w:r>
      <w:r>
        <w:rPr>
          <w:rFonts w:hint="eastAsia"/>
          <w:szCs w:val="21"/>
        </w:rPr>
        <w:t>2</w:t>
      </w:r>
      <w:r>
        <w:rPr>
          <w:rFonts w:hint="eastAsia"/>
          <w:szCs w:val="21"/>
        </w:rPr>
        <w:t>件，其中</w:t>
      </w:r>
      <w:r>
        <w:rPr>
          <w:rFonts w:hint="eastAsia"/>
          <w:szCs w:val="21"/>
        </w:rPr>
        <w:t>1</w:t>
      </w:r>
      <w:r>
        <w:rPr>
          <w:rFonts w:hint="eastAsia"/>
          <w:szCs w:val="21"/>
        </w:rPr>
        <w:t>件作为检验样品，</w:t>
      </w:r>
      <w:r>
        <w:rPr>
          <w:rFonts w:hint="eastAsia"/>
          <w:szCs w:val="21"/>
        </w:rPr>
        <w:t>1</w:t>
      </w:r>
      <w:r>
        <w:rPr>
          <w:rFonts w:hint="eastAsia"/>
          <w:szCs w:val="21"/>
        </w:rPr>
        <w:t>件作为备用样品。</w:t>
      </w:r>
    </w:p>
    <w:p w:rsidR="007B1930" w:rsidRDefault="00971D1A">
      <w:pPr>
        <w:snapToGrid w:val="0"/>
        <w:spacing w:line="440" w:lineRule="exact"/>
        <w:rPr>
          <w:rFonts w:eastAsia="黑体"/>
          <w:szCs w:val="21"/>
        </w:rPr>
      </w:pPr>
      <w:r>
        <w:rPr>
          <w:rFonts w:eastAsia="黑体" w:hint="eastAsia"/>
          <w:szCs w:val="21"/>
        </w:rPr>
        <w:t xml:space="preserve">2 </w:t>
      </w:r>
      <w:r>
        <w:rPr>
          <w:rFonts w:eastAsia="黑体" w:hint="eastAsia"/>
          <w:szCs w:val="21"/>
        </w:rPr>
        <w:t>检验依据</w:t>
      </w:r>
    </w:p>
    <w:tbl>
      <w:tblPr>
        <w:tblpPr w:leftFromText="180" w:rightFromText="180" w:vertAnchor="text" w:horzAnchor="margin" w:tblpXSpec="center" w:tblpY="252"/>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4364"/>
        <w:gridCol w:w="3434"/>
      </w:tblGrid>
      <w:tr w:rsidR="007B1930">
        <w:trPr>
          <w:cantSplit/>
          <w:trHeight w:val="430"/>
          <w:tblHeader/>
        </w:trPr>
        <w:tc>
          <w:tcPr>
            <w:tcW w:w="935" w:type="dxa"/>
            <w:vMerge w:val="restart"/>
            <w:vAlign w:val="center"/>
          </w:tcPr>
          <w:p w:rsidR="007B1930" w:rsidRDefault="00971D1A">
            <w:pPr>
              <w:spacing w:line="240" w:lineRule="exact"/>
              <w:jc w:val="center"/>
              <w:rPr>
                <w:rFonts w:ascii="宋体" w:hAnsi="宋体"/>
                <w:b/>
              </w:rPr>
            </w:pPr>
            <w:r>
              <w:rPr>
                <w:rFonts w:ascii="宋体" w:hAnsi="宋体" w:hint="eastAsia"/>
                <w:b/>
              </w:rPr>
              <w:t>序号</w:t>
            </w:r>
          </w:p>
        </w:tc>
        <w:tc>
          <w:tcPr>
            <w:tcW w:w="4364" w:type="dxa"/>
            <w:vMerge w:val="restart"/>
            <w:vAlign w:val="center"/>
          </w:tcPr>
          <w:p w:rsidR="007B1930" w:rsidRDefault="00971D1A">
            <w:pPr>
              <w:spacing w:line="240" w:lineRule="exact"/>
              <w:jc w:val="center"/>
              <w:rPr>
                <w:rFonts w:ascii="宋体" w:hAnsi="宋体"/>
                <w:b/>
              </w:rPr>
            </w:pPr>
            <w:r>
              <w:rPr>
                <w:rFonts w:ascii="宋体" w:hAnsi="宋体" w:hint="eastAsia"/>
                <w:b/>
              </w:rPr>
              <w:t>检验项目</w:t>
            </w:r>
          </w:p>
        </w:tc>
        <w:tc>
          <w:tcPr>
            <w:tcW w:w="3434" w:type="dxa"/>
            <w:vMerge w:val="restart"/>
            <w:vAlign w:val="center"/>
          </w:tcPr>
          <w:p w:rsidR="007B1930" w:rsidRDefault="00971D1A">
            <w:pPr>
              <w:spacing w:line="240" w:lineRule="exact"/>
              <w:jc w:val="center"/>
              <w:rPr>
                <w:rFonts w:ascii="宋体" w:hAnsi="宋体"/>
                <w:b/>
              </w:rPr>
            </w:pPr>
            <w:r>
              <w:rPr>
                <w:rFonts w:ascii="宋体" w:hAnsi="宋体" w:hint="eastAsia"/>
                <w:b/>
              </w:rPr>
              <w:t>检验方法</w:t>
            </w:r>
          </w:p>
        </w:tc>
      </w:tr>
      <w:tr w:rsidR="007B1930">
        <w:trPr>
          <w:cantSplit/>
          <w:trHeight w:val="339"/>
          <w:tblHeader/>
        </w:trPr>
        <w:tc>
          <w:tcPr>
            <w:tcW w:w="935" w:type="dxa"/>
            <w:vMerge/>
            <w:vAlign w:val="center"/>
          </w:tcPr>
          <w:p w:rsidR="007B1930" w:rsidRDefault="007B1930">
            <w:pPr>
              <w:spacing w:line="280" w:lineRule="exact"/>
              <w:jc w:val="center"/>
              <w:rPr>
                <w:rFonts w:ascii="宋体" w:hAnsi="宋体"/>
                <w:b/>
              </w:rPr>
            </w:pPr>
          </w:p>
        </w:tc>
        <w:tc>
          <w:tcPr>
            <w:tcW w:w="4364" w:type="dxa"/>
            <w:vMerge/>
            <w:vAlign w:val="center"/>
          </w:tcPr>
          <w:p w:rsidR="007B1930" w:rsidRDefault="007B1930">
            <w:pPr>
              <w:spacing w:line="280" w:lineRule="exact"/>
              <w:jc w:val="center"/>
              <w:rPr>
                <w:rFonts w:ascii="宋体" w:hAnsi="宋体"/>
                <w:b/>
              </w:rPr>
            </w:pPr>
          </w:p>
        </w:tc>
        <w:tc>
          <w:tcPr>
            <w:tcW w:w="3434" w:type="dxa"/>
            <w:vMerge/>
            <w:vAlign w:val="center"/>
          </w:tcPr>
          <w:p w:rsidR="007B1930" w:rsidRDefault="007B1930">
            <w:pPr>
              <w:spacing w:line="280" w:lineRule="exact"/>
              <w:jc w:val="center"/>
              <w:rPr>
                <w:rFonts w:ascii="宋体" w:hAnsi="宋体"/>
                <w:b/>
              </w:rPr>
            </w:pPr>
          </w:p>
        </w:tc>
      </w:tr>
      <w:tr w:rsidR="007B1930">
        <w:trPr>
          <w:cantSplit/>
          <w:trHeight w:val="623"/>
        </w:trPr>
        <w:tc>
          <w:tcPr>
            <w:tcW w:w="935" w:type="dxa"/>
            <w:vAlign w:val="center"/>
          </w:tcPr>
          <w:p w:rsidR="007B1930" w:rsidRDefault="00971D1A">
            <w:pPr>
              <w:spacing w:line="280" w:lineRule="exact"/>
              <w:jc w:val="center"/>
              <w:rPr>
                <w:rFonts w:ascii="宋体" w:hAnsi="宋体"/>
              </w:rPr>
            </w:pPr>
            <w:r>
              <w:rPr>
                <w:rFonts w:ascii="宋体" w:hAnsi="宋体" w:hint="eastAsia"/>
              </w:rPr>
              <w:t>1</w:t>
            </w:r>
          </w:p>
        </w:tc>
        <w:tc>
          <w:tcPr>
            <w:tcW w:w="4364" w:type="dxa"/>
            <w:vAlign w:val="center"/>
          </w:tcPr>
          <w:p w:rsidR="007B1930" w:rsidRDefault="00971D1A">
            <w:pPr>
              <w:spacing w:line="280" w:lineRule="exact"/>
              <w:jc w:val="center"/>
              <w:rPr>
                <w:rFonts w:ascii="宋体" w:hAnsi="宋体"/>
              </w:rPr>
            </w:pPr>
            <w:r>
              <w:rPr>
                <w:rFonts w:ascii="宋体" w:hAnsi="宋体" w:hint="eastAsia"/>
              </w:rPr>
              <w:t>外观（标记</w:t>
            </w:r>
            <w:r>
              <w:rPr>
                <w:rFonts w:ascii="宋体" w:hAnsi="宋体" w:hint="eastAsia"/>
              </w:rPr>
              <w:t>*</w:t>
            </w:r>
            <w:r>
              <w:rPr>
                <w:rFonts w:ascii="宋体" w:hAnsi="宋体" w:hint="eastAsia"/>
              </w:rPr>
              <w:t>检验项目除外）</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cantSplit/>
          <w:trHeight w:val="623"/>
        </w:trPr>
        <w:tc>
          <w:tcPr>
            <w:tcW w:w="935" w:type="dxa"/>
            <w:vAlign w:val="center"/>
          </w:tcPr>
          <w:p w:rsidR="007B1930" w:rsidRDefault="00971D1A">
            <w:pPr>
              <w:spacing w:line="280" w:lineRule="exact"/>
              <w:jc w:val="center"/>
              <w:rPr>
                <w:rFonts w:ascii="宋体" w:hAnsi="宋体"/>
              </w:rPr>
            </w:pPr>
            <w:r>
              <w:rPr>
                <w:rFonts w:ascii="宋体" w:hAnsi="宋体" w:hint="eastAsia"/>
              </w:rPr>
              <w:t>2</w:t>
            </w:r>
          </w:p>
        </w:tc>
        <w:tc>
          <w:tcPr>
            <w:tcW w:w="4364" w:type="dxa"/>
            <w:vAlign w:val="center"/>
          </w:tcPr>
          <w:p w:rsidR="007B1930" w:rsidRDefault="00971D1A">
            <w:pPr>
              <w:spacing w:line="280" w:lineRule="exact"/>
              <w:jc w:val="center"/>
              <w:rPr>
                <w:rFonts w:ascii="宋体" w:hAnsi="宋体"/>
              </w:rPr>
            </w:pPr>
            <w:r>
              <w:rPr>
                <w:rFonts w:ascii="宋体" w:hAnsi="宋体" w:hint="eastAsia"/>
              </w:rPr>
              <w:t>理化性能</w:t>
            </w:r>
            <w:r>
              <w:rPr>
                <w:rFonts w:ascii="宋体" w:hAnsi="宋体" w:hint="eastAsia"/>
              </w:rPr>
              <w:t>/</w:t>
            </w:r>
            <w:r>
              <w:rPr>
                <w:rFonts w:ascii="宋体" w:hAnsi="宋体" w:hint="eastAsia"/>
              </w:rPr>
              <w:t>软质聚氨酯泡沫塑料</w:t>
            </w:r>
            <w:r>
              <w:rPr>
                <w:rFonts w:ascii="宋体" w:hAnsi="宋体" w:hint="eastAsia"/>
              </w:rPr>
              <w:t>/</w:t>
            </w:r>
            <w:r>
              <w:rPr>
                <w:rFonts w:ascii="宋体" w:hAnsi="宋体" w:hint="eastAsia"/>
              </w:rPr>
              <w:t>回弹性</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cantSplit/>
          <w:trHeight w:val="623"/>
        </w:trPr>
        <w:tc>
          <w:tcPr>
            <w:tcW w:w="935" w:type="dxa"/>
            <w:vAlign w:val="center"/>
          </w:tcPr>
          <w:p w:rsidR="007B1930" w:rsidRDefault="00971D1A">
            <w:pPr>
              <w:spacing w:line="280" w:lineRule="exact"/>
              <w:jc w:val="center"/>
              <w:rPr>
                <w:rFonts w:ascii="宋体" w:hAnsi="宋体"/>
              </w:rPr>
            </w:pPr>
            <w:r>
              <w:rPr>
                <w:rFonts w:ascii="宋体" w:hAnsi="宋体" w:hint="eastAsia"/>
              </w:rPr>
              <w:t>3</w:t>
            </w:r>
          </w:p>
        </w:tc>
        <w:tc>
          <w:tcPr>
            <w:tcW w:w="4364" w:type="dxa"/>
            <w:vAlign w:val="center"/>
          </w:tcPr>
          <w:p w:rsidR="007B1930" w:rsidRDefault="00971D1A">
            <w:pPr>
              <w:spacing w:line="280" w:lineRule="exact"/>
              <w:jc w:val="center"/>
              <w:rPr>
                <w:rFonts w:ascii="宋体" w:hAnsi="宋体"/>
              </w:rPr>
            </w:pPr>
            <w:r>
              <w:rPr>
                <w:rFonts w:ascii="宋体" w:hAnsi="宋体" w:hint="eastAsia"/>
              </w:rPr>
              <w:t>理化性能</w:t>
            </w:r>
            <w:r>
              <w:rPr>
                <w:rFonts w:ascii="宋体" w:hAnsi="宋体" w:hint="eastAsia"/>
              </w:rPr>
              <w:t>/</w:t>
            </w:r>
            <w:r>
              <w:rPr>
                <w:rFonts w:ascii="宋体" w:hAnsi="宋体" w:hint="eastAsia"/>
              </w:rPr>
              <w:t>纺织面料</w:t>
            </w:r>
            <w:r>
              <w:rPr>
                <w:rFonts w:ascii="宋体" w:hAnsi="宋体" w:hint="eastAsia"/>
              </w:rPr>
              <w:t>/</w:t>
            </w:r>
            <w:r>
              <w:rPr>
                <w:rFonts w:ascii="宋体" w:hAnsi="宋体" w:hint="eastAsia"/>
              </w:rPr>
              <w:t>干摩擦色牢度</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cantSplit/>
          <w:trHeight w:val="623"/>
        </w:trPr>
        <w:tc>
          <w:tcPr>
            <w:tcW w:w="935" w:type="dxa"/>
            <w:vAlign w:val="center"/>
          </w:tcPr>
          <w:p w:rsidR="007B1930" w:rsidRDefault="00971D1A">
            <w:pPr>
              <w:spacing w:line="280" w:lineRule="exact"/>
              <w:jc w:val="center"/>
              <w:rPr>
                <w:rFonts w:ascii="宋体" w:hAnsi="宋体"/>
              </w:rPr>
            </w:pPr>
            <w:r>
              <w:rPr>
                <w:rFonts w:ascii="宋体" w:hAnsi="宋体" w:hint="eastAsia"/>
              </w:rPr>
              <w:t>4</w:t>
            </w:r>
          </w:p>
        </w:tc>
        <w:tc>
          <w:tcPr>
            <w:tcW w:w="4364" w:type="dxa"/>
            <w:vAlign w:val="center"/>
          </w:tcPr>
          <w:p w:rsidR="007B1930" w:rsidRDefault="00971D1A">
            <w:pPr>
              <w:spacing w:line="280" w:lineRule="exact"/>
              <w:jc w:val="center"/>
              <w:rPr>
                <w:rFonts w:ascii="宋体" w:hAnsi="宋体"/>
              </w:rPr>
            </w:pPr>
            <w:r>
              <w:rPr>
                <w:rFonts w:ascii="宋体" w:hAnsi="宋体" w:hint="eastAsia"/>
              </w:rPr>
              <w:t>理化性能</w:t>
            </w:r>
            <w:r>
              <w:rPr>
                <w:rFonts w:ascii="宋体" w:hAnsi="宋体" w:hint="eastAsia"/>
              </w:rPr>
              <w:t>/</w:t>
            </w:r>
            <w:r>
              <w:rPr>
                <w:rFonts w:ascii="宋体" w:hAnsi="宋体" w:hint="eastAsia"/>
              </w:rPr>
              <w:t>电镀层</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5</w:t>
            </w:r>
          </w:p>
        </w:tc>
        <w:tc>
          <w:tcPr>
            <w:tcW w:w="4364" w:type="dxa"/>
            <w:vAlign w:val="center"/>
          </w:tcPr>
          <w:p w:rsidR="007B1930" w:rsidRDefault="00971D1A">
            <w:pPr>
              <w:spacing w:line="280" w:lineRule="exact"/>
              <w:jc w:val="center"/>
              <w:rPr>
                <w:rFonts w:ascii="宋体" w:hAnsi="宋体"/>
              </w:rPr>
            </w:pPr>
            <w:r>
              <w:rPr>
                <w:rFonts w:ascii="宋体" w:hAnsi="宋体" w:hint="eastAsia"/>
              </w:rPr>
              <w:t>甲醛释放量</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6</w:t>
            </w:r>
          </w:p>
        </w:tc>
        <w:tc>
          <w:tcPr>
            <w:tcW w:w="4364" w:type="dxa"/>
            <w:vAlign w:val="center"/>
          </w:tcPr>
          <w:p w:rsidR="007B1930" w:rsidRDefault="00971D1A">
            <w:pPr>
              <w:spacing w:line="280" w:lineRule="exact"/>
              <w:jc w:val="center"/>
              <w:rPr>
                <w:rFonts w:ascii="宋体" w:hAnsi="宋体"/>
              </w:rPr>
            </w:pPr>
            <w:r>
              <w:rPr>
                <w:rFonts w:ascii="宋体" w:hAnsi="宋体" w:hint="eastAsia"/>
              </w:rPr>
              <w:t>消费使用说明书</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GB/T5296.6-2004</w:t>
            </w:r>
          </w:p>
        </w:tc>
      </w:tr>
      <w:tr w:rsidR="007B1930">
        <w:trPr>
          <w:trHeight w:val="573"/>
        </w:trPr>
        <w:tc>
          <w:tcPr>
            <w:tcW w:w="935" w:type="dxa"/>
            <w:vAlign w:val="center"/>
          </w:tcPr>
          <w:p w:rsidR="007B1930" w:rsidRDefault="00971D1A">
            <w:pPr>
              <w:spacing w:line="280" w:lineRule="exact"/>
              <w:jc w:val="center"/>
              <w:rPr>
                <w:rFonts w:ascii="宋体" w:hAnsi="宋体"/>
              </w:rPr>
            </w:pPr>
            <w:bookmarkStart w:id="0" w:name="_GoBack" w:colFirst="2" w:colLast="2"/>
            <w:r>
              <w:rPr>
                <w:rFonts w:ascii="宋体" w:hAnsi="宋体" w:hint="eastAsia"/>
              </w:rPr>
              <w:t>7</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稳定性</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8</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座面冲击</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9</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座面、椅背静载荷</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10</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扶手垂直向下静载荷</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11</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扶手水平静载荷</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12</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底座静载荷</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r w:rsidR="007B1930">
        <w:trPr>
          <w:trHeight w:val="573"/>
        </w:trPr>
        <w:tc>
          <w:tcPr>
            <w:tcW w:w="935" w:type="dxa"/>
            <w:vAlign w:val="center"/>
          </w:tcPr>
          <w:p w:rsidR="007B1930" w:rsidRDefault="00971D1A">
            <w:pPr>
              <w:spacing w:line="280" w:lineRule="exact"/>
              <w:jc w:val="center"/>
              <w:rPr>
                <w:rFonts w:ascii="宋体" w:hAnsi="宋体"/>
              </w:rPr>
            </w:pPr>
            <w:r>
              <w:rPr>
                <w:rFonts w:ascii="宋体" w:hAnsi="宋体" w:hint="eastAsia"/>
              </w:rPr>
              <w:t>13</w:t>
            </w:r>
          </w:p>
        </w:tc>
        <w:tc>
          <w:tcPr>
            <w:tcW w:w="4364" w:type="dxa"/>
            <w:vAlign w:val="center"/>
          </w:tcPr>
          <w:p w:rsidR="007B1930" w:rsidRDefault="00971D1A">
            <w:pPr>
              <w:spacing w:line="280" w:lineRule="exact"/>
              <w:jc w:val="center"/>
              <w:rPr>
                <w:rFonts w:ascii="宋体" w:hAnsi="宋体"/>
              </w:rPr>
            </w:pPr>
            <w:r>
              <w:rPr>
                <w:rFonts w:ascii="宋体" w:hAnsi="宋体" w:hint="eastAsia"/>
                <w:sz w:val="22"/>
                <w:szCs w:val="22"/>
              </w:rPr>
              <w:t>力学性能</w:t>
            </w:r>
            <w:r>
              <w:rPr>
                <w:rFonts w:ascii="宋体" w:hAnsi="宋体" w:hint="eastAsia"/>
                <w:sz w:val="22"/>
                <w:szCs w:val="22"/>
              </w:rPr>
              <w:t>/</w:t>
            </w:r>
            <w:r>
              <w:rPr>
                <w:rFonts w:ascii="宋体" w:hAnsi="宋体" w:hint="eastAsia"/>
                <w:sz w:val="22"/>
                <w:szCs w:val="22"/>
              </w:rPr>
              <w:t>跌落</w:t>
            </w:r>
          </w:p>
        </w:tc>
        <w:tc>
          <w:tcPr>
            <w:tcW w:w="3434" w:type="dxa"/>
            <w:vAlign w:val="center"/>
          </w:tcPr>
          <w:p w:rsidR="007B1930" w:rsidRPr="001431DA" w:rsidRDefault="00971D1A">
            <w:pPr>
              <w:spacing w:line="280" w:lineRule="exact"/>
              <w:jc w:val="center"/>
              <w:rPr>
                <w:rFonts w:ascii="宋体" w:hAnsi="宋体"/>
              </w:rPr>
            </w:pPr>
            <w:r w:rsidRPr="001431DA">
              <w:rPr>
                <w:rFonts w:ascii="宋体" w:hAnsi="宋体" w:hint="eastAsia"/>
              </w:rPr>
              <w:t>QB/T2280-2016</w:t>
            </w:r>
          </w:p>
        </w:tc>
      </w:tr>
    </w:tbl>
    <w:bookmarkEnd w:id="0"/>
    <w:p w:rsidR="007B1930" w:rsidRDefault="00971D1A">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7B1930" w:rsidRDefault="00971D1A">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7B1930" w:rsidRDefault="00971D1A">
      <w:pPr>
        <w:spacing w:line="440" w:lineRule="exact"/>
        <w:rPr>
          <w:rFonts w:eastAsia="黑体"/>
          <w:szCs w:val="21"/>
        </w:rPr>
      </w:pPr>
      <w:r>
        <w:rPr>
          <w:rFonts w:eastAsia="黑体"/>
          <w:szCs w:val="21"/>
        </w:rPr>
        <w:lastRenderedPageBreak/>
        <w:t xml:space="preserve">3 </w:t>
      </w:r>
      <w:r>
        <w:rPr>
          <w:rFonts w:eastAsia="黑体"/>
          <w:szCs w:val="21"/>
        </w:rPr>
        <w:t>判定规则</w:t>
      </w:r>
    </w:p>
    <w:p w:rsidR="007B1930" w:rsidRDefault="00971D1A">
      <w:pPr>
        <w:snapToGrid w:val="0"/>
        <w:spacing w:line="440" w:lineRule="exact"/>
        <w:rPr>
          <w:szCs w:val="21"/>
        </w:rPr>
      </w:pPr>
      <w:r>
        <w:rPr>
          <w:szCs w:val="21"/>
        </w:rPr>
        <w:t>3.1</w:t>
      </w:r>
      <w:r>
        <w:rPr>
          <w:szCs w:val="21"/>
        </w:rPr>
        <w:t>依据标准</w:t>
      </w:r>
    </w:p>
    <w:p w:rsidR="007B1930" w:rsidRDefault="00971D1A">
      <w:pPr>
        <w:snapToGrid w:val="0"/>
        <w:spacing w:line="440" w:lineRule="exact"/>
        <w:ind w:firstLineChars="200" w:firstLine="420"/>
        <w:rPr>
          <w:szCs w:val="21"/>
        </w:rPr>
      </w:pPr>
      <w:r>
        <w:rPr>
          <w:szCs w:val="21"/>
        </w:rPr>
        <w:t>QB/T 2280-20</w:t>
      </w:r>
      <w:r>
        <w:rPr>
          <w:rFonts w:hint="eastAsia"/>
          <w:szCs w:val="21"/>
        </w:rPr>
        <w:t>16</w:t>
      </w:r>
      <w:r>
        <w:rPr>
          <w:rFonts w:hint="eastAsia"/>
          <w:szCs w:val="21"/>
        </w:rPr>
        <w:t>办公椅</w:t>
      </w:r>
    </w:p>
    <w:p w:rsidR="007B1930" w:rsidRDefault="00971D1A">
      <w:pPr>
        <w:snapToGrid w:val="0"/>
        <w:spacing w:line="440" w:lineRule="exact"/>
        <w:ind w:firstLineChars="200" w:firstLine="420"/>
        <w:rPr>
          <w:szCs w:val="21"/>
        </w:rPr>
      </w:pPr>
      <w:r>
        <w:rPr>
          <w:szCs w:val="21"/>
        </w:rPr>
        <w:t>GB/T5296.6-2004</w:t>
      </w:r>
      <w:r>
        <w:rPr>
          <w:rFonts w:ascii="宋体" w:hAnsi="宋体" w:hint="eastAsia"/>
        </w:rPr>
        <w:t>消费品使用说明</w:t>
      </w:r>
      <w:r>
        <w:rPr>
          <w:rFonts w:ascii="宋体" w:hAnsi="宋体" w:hint="eastAsia"/>
        </w:rPr>
        <w:t xml:space="preserve"> </w:t>
      </w:r>
      <w:r>
        <w:rPr>
          <w:rFonts w:ascii="宋体" w:hAnsi="宋体" w:hint="eastAsia"/>
        </w:rPr>
        <w:t>第</w:t>
      </w:r>
      <w:r>
        <w:rPr>
          <w:rFonts w:ascii="宋体" w:hAnsi="宋体"/>
        </w:rPr>
        <w:t>6</w:t>
      </w:r>
      <w:r>
        <w:rPr>
          <w:rFonts w:ascii="宋体" w:hAnsi="宋体" w:hint="eastAsia"/>
        </w:rPr>
        <w:t>部分：家具</w:t>
      </w:r>
    </w:p>
    <w:p w:rsidR="007B1930" w:rsidRDefault="00971D1A">
      <w:pPr>
        <w:snapToGrid w:val="0"/>
        <w:spacing w:line="440" w:lineRule="exact"/>
        <w:ind w:firstLineChars="200" w:firstLine="420"/>
        <w:rPr>
          <w:szCs w:val="21"/>
        </w:rPr>
      </w:pPr>
      <w:r>
        <w:rPr>
          <w:szCs w:val="21"/>
        </w:rPr>
        <w:t>现行有效的企业标准、团体标准、地方标准及产品明示质量要求</w:t>
      </w:r>
    </w:p>
    <w:p w:rsidR="007B1930" w:rsidRDefault="00971D1A">
      <w:pPr>
        <w:snapToGrid w:val="0"/>
        <w:spacing w:line="440" w:lineRule="exact"/>
        <w:rPr>
          <w:szCs w:val="21"/>
        </w:rPr>
      </w:pPr>
      <w:r>
        <w:rPr>
          <w:szCs w:val="21"/>
        </w:rPr>
        <w:t>3.2</w:t>
      </w:r>
      <w:r>
        <w:rPr>
          <w:szCs w:val="21"/>
        </w:rPr>
        <w:t>判定原则</w:t>
      </w:r>
    </w:p>
    <w:p w:rsidR="007B1930" w:rsidRDefault="00971D1A">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7B1930" w:rsidRDefault="00971D1A">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7B1930" w:rsidRDefault="00971D1A">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7B1930" w:rsidRDefault="00971D1A">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7B1930" w:rsidRDefault="00971D1A">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7B1930" w:rsidRDefault="00971D1A">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7B1930" w:rsidSect="007B1930">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1A" w:rsidRDefault="00971D1A" w:rsidP="007B1930">
      <w:r>
        <w:separator/>
      </w:r>
    </w:p>
  </w:endnote>
  <w:endnote w:type="continuationSeparator" w:id="1">
    <w:p w:rsidR="00971D1A" w:rsidRDefault="00971D1A" w:rsidP="007B1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0" w:rsidRDefault="007B1930">
    <w:pPr>
      <w:pStyle w:val="a6"/>
      <w:framePr w:wrap="around" w:vAnchor="text" w:hAnchor="margin" w:xAlign="center" w:y="1"/>
      <w:rPr>
        <w:rStyle w:val="a8"/>
      </w:rPr>
    </w:pPr>
    <w:r>
      <w:fldChar w:fldCharType="begin"/>
    </w:r>
    <w:r w:rsidR="00971D1A">
      <w:rPr>
        <w:rStyle w:val="a8"/>
      </w:rPr>
      <w:instrText xml:space="preserve">PAGE  </w:instrText>
    </w:r>
    <w:r>
      <w:fldChar w:fldCharType="end"/>
    </w:r>
  </w:p>
  <w:p w:rsidR="007B1930" w:rsidRDefault="007B19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1A" w:rsidRDefault="00971D1A" w:rsidP="007B1930">
      <w:r>
        <w:separator/>
      </w:r>
    </w:p>
  </w:footnote>
  <w:footnote w:type="continuationSeparator" w:id="1">
    <w:p w:rsidR="00971D1A" w:rsidRDefault="00971D1A" w:rsidP="007B1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7A3C"/>
    <w:rsid w:val="00035844"/>
    <w:rsid w:val="000858BC"/>
    <w:rsid w:val="000925CC"/>
    <w:rsid w:val="001431DA"/>
    <w:rsid w:val="00152127"/>
    <w:rsid w:val="00160A40"/>
    <w:rsid w:val="0016744D"/>
    <w:rsid w:val="00183DF2"/>
    <w:rsid w:val="002700AA"/>
    <w:rsid w:val="00282423"/>
    <w:rsid w:val="002A00BD"/>
    <w:rsid w:val="003226D8"/>
    <w:rsid w:val="003740BF"/>
    <w:rsid w:val="003824DF"/>
    <w:rsid w:val="00385221"/>
    <w:rsid w:val="003E2406"/>
    <w:rsid w:val="003E7293"/>
    <w:rsid w:val="003F22E4"/>
    <w:rsid w:val="003F55F3"/>
    <w:rsid w:val="004443C7"/>
    <w:rsid w:val="0045130E"/>
    <w:rsid w:val="00464003"/>
    <w:rsid w:val="00464765"/>
    <w:rsid w:val="004D4755"/>
    <w:rsid w:val="004D56E2"/>
    <w:rsid w:val="0056090F"/>
    <w:rsid w:val="00564F31"/>
    <w:rsid w:val="005650CA"/>
    <w:rsid w:val="00585F1C"/>
    <w:rsid w:val="005B341B"/>
    <w:rsid w:val="005E1A59"/>
    <w:rsid w:val="005E78DD"/>
    <w:rsid w:val="005F021E"/>
    <w:rsid w:val="006167E6"/>
    <w:rsid w:val="00636218"/>
    <w:rsid w:val="00654A07"/>
    <w:rsid w:val="006A59B8"/>
    <w:rsid w:val="006C5C42"/>
    <w:rsid w:val="006D083D"/>
    <w:rsid w:val="00727D45"/>
    <w:rsid w:val="00732B06"/>
    <w:rsid w:val="007815F5"/>
    <w:rsid w:val="00784947"/>
    <w:rsid w:val="00784ECC"/>
    <w:rsid w:val="0079079B"/>
    <w:rsid w:val="007923F2"/>
    <w:rsid w:val="007B1930"/>
    <w:rsid w:val="007C36F6"/>
    <w:rsid w:val="007F717D"/>
    <w:rsid w:val="00857C4A"/>
    <w:rsid w:val="0087143B"/>
    <w:rsid w:val="008B7736"/>
    <w:rsid w:val="008E2605"/>
    <w:rsid w:val="0094651A"/>
    <w:rsid w:val="00971D1A"/>
    <w:rsid w:val="009874D1"/>
    <w:rsid w:val="009A710D"/>
    <w:rsid w:val="009C49F6"/>
    <w:rsid w:val="009D491D"/>
    <w:rsid w:val="009E3134"/>
    <w:rsid w:val="00A63F91"/>
    <w:rsid w:val="00A86C22"/>
    <w:rsid w:val="00AB16F8"/>
    <w:rsid w:val="00AC4C6B"/>
    <w:rsid w:val="00AC5B64"/>
    <w:rsid w:val="00AD3EBB"/>
    <w:rsid w:val="00AE741A"/>
    <w:rsid w:val="00AE7467"/>
    <w:rsid w:val="00B20A4C"/>
    <w:rsid w:val="00B5765C"/>
    <w:rsid w:val="00B61983"/>
    <w:rsid w:val="00BA2BCF"/>
    <w:rsid w:val="00BB473C"/>
    <w:rsid w:val="00C068EE"/>
    <w:rsid w:val="00C124F2"/>
    <w:rsid w:val="00C765EA"/>
    <w:rsid w:val="00C93882"/>
    <w:rsid w:val="00C959A2"/>
    <w:rsid w:val="00CB4CFA"/>
    <w:rsid w:val="00CC3433"/>
    <w:rsid w:val="00CD0567"/>
    <w:rsid w:val="00CE7A3C"/>
    <w:rsid w:val="00D11AB1"/>
    <w:rsid w:val="00D56D0B"/>
    <w:rsid w:val="00D860AC"/>
    <w:rsid w:val="00DA2AEF"/>
    <w:rsid w:val="00DB4433"/>
    <w:rsid w:val="00DE27E4"/>
    <w:rsid w:val="00DE57C3"/>
    <w:rsid w:val="00E67945"/>
    <w:rsid w:val="00E81CDA"/>
    <w:rsid w:val="00E91F34"/>
    <w:rsid w:val="00EC602B"/>
    <w:rsid w:val="00ED0F75"/>
    <w:rsid w:val="00F1617D"/>
    <w:rsid w:val="00F35FF2"/>
    <w:rsid w:val="00F806BC"/>
    <w:rsid w:val="00FA474F"/>
    <w:rsid w:val="00FC626B"/>
    <w:rsid w:val="02657AC5"/>
    <w:rsid w:val="0A7C6F3F"/>
    <w:rsid w:val="0C7524DA"/>
    <w:rsid w:val="14BC550F"/>
    <w:rsid w:val="150243CF"/>
    <w:rsid w:val="183D15CD"/>
    <w:rsid w:val="22C439A8"/>
    <w:rsid w:val="232259B1"/>
    <w:rsid w:val="25F63A90"/>
    <w:rsid w:val="2EBD4E5E"/>
    <w:rsid w:val="33935754"/>
    <w:rsid w:val="383A2916"/>
    <w:rsid w:val="4166035D"/>
    <w:rsid w:val="42910561"/>
    <w:rsid w:val="438E1DC6"/>
    <w:rsid w:val="46EC695D"/>
    <w:rsid w:val="495F0FDE"/>
    <w:rsid w:val="4F4677F4"/>
    <w:rsid w:val="575368DE"/>
    <w:rsid w:val="5BA54263"/>
    <w:rsid w:val="66567E48"/>
    <w:rsid w:val="67C52C48"/>
    <w:rsid w:val="6AF21B11"/>
    <w:rsid w:val="6E7039B0"/>
    <w:rsid w:val="7B616862"/>
    <w:rsid w:val="7B710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B1930"/>
    <w:rPr>
      <w:b/>
      <w:bCs/>
    </w:rPr>
  </w:style>
  <w:style w:type="paragraph" w:styleId="a4">
    <w:name w:val="annotation text"/>
    <w:basedOn w:val="a"/>
    <w:link w:val="Char0"/>
    <w:uiPriority w:val="99"/>
    <w:unhideWhenUsed/>
    <w:qFormat/>
    <w:rsid w:val="007B1930"/>
    <w:pPr>
      <w:jc w:val="left"/>
    </w:pPr>
  </w:style>
  <w:style w:type="paragraph" w:styleId="a5">
    <w:name w:val="Balloon Text"/>
    <w:basedOn w:val="a"/>
    <w:link w:val="Char1"/>
    <w:uiPriority w:val="99"/>
    <w:unhideWhenUsed/>
    <w:qFormat/>
    <w:rsid w:val="007B1930"/>
    <w:rPr>
      <w:sz w:val="18"/>
      <w:szCs w:val="18"/>
    </w:rPr>
  </w:style>
  <w:style w:type="paragraph" w:styleId="a6">
    <w:name w:val="footer"/>
    <w:basedOn w:val="a"/>
    <w:link w:val="Char2"/>
    <w:unhideWhenUsed/>
    <w:qFormat/>
    <w:rsid w:val="007B1930"/>
    <w:pPr>
      <w:tabs>
        <w:tab w:val="center" w:pos="4153"/>
        <w:tab w:val="right" w:pos="8306"/>
      </w:tabs>
      <w:snapToGrid w:val="0"/>
      <w:jc w:val="left"/>
    </w:pPr>
    <w:rPr>
      <w:rFonts w:ascii="Calibri" w:hAnsi="Calibri" w:cs="黑体"/>
      <w:sz w:val="18"/>
      <w:szCs w:val="18"/>
    </w:rPr>
  </w:style>
  <w:style w:type="paragraph" w:styleId="a7">
    <w:name w:val="header"/>
    <w:basedOn w:val="a"/>
    <w:link w:val="Char3"/>
    <w:uiPriority w:val="99"/>
    <w:unhideWhenUsed/>
    <w:qFormat/>
    <w:rsid w:val="007B1930"/>
    <w:pPr>
      <w:pBdr>
        <w:bottom w:val="single" w:sz="6" w:space="1" w:color="auto"/>
      </w:pBdr>
      <w:tabs>
        <w:tab w:val="center" w:pos="4153"/>
        <w:tab w:val="right" w:pos="8306"/>
      </w:tabs>
      <w:snapToGrid w:val="0"/>
      <w:jc w:val="center"/>
    </w:pPr>
    <w:rPr>
      <w:rFonts w:ascii="Calibri" w:hAnsi="Calibri" w:cs="黑体"/>
      <w:sz w:val="18"/>
      <w:szCs w:val="18"/>
    </w:rPr>
  </w:style>
  <w:style w:type="character" w:styleId="a8">
    <w:name w:val="page number"/>
    <w:basedOn w:val="a0"/>
    <w:qFormat/>
    <w:rsid w:val="007B1930"/>
  </w:style>
  <w:style w:type="character" w:styleId="a9">
    <w:name w:val="annotation reference"/>
    <w:basedOn w:val="a0"/>
    <w:uiPriority w:val="99"/>
    <w:unhideWhenUsed/>
    <w:qFormat/>
    <w:rsid w:val="007B1930"/>
    <w:rPr>
      <w:sz w:val="21"/>
      <w:szCs w:val="21"/>
    </w:rPr>
  </w:style>
  <w:style w:type="table" w:styleId="aa">
    <w:name w:val="Table Grid"/>
    <w:basedOn w:val="a1"/>
    <w:qFormat/>
    <w:rsid w:val="007B193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7B1930"/>
    <w:rPr>
      <w:sz w:val="18"/>
      <w:szCs w:val="18"/>
    </w:rPr>
  </w:style>
  <w:style w:type="character" w:customStyle="1" w:styleId="Char2">
    <w:name w:val="页脚 Char"/>
    <w:basedOn w:val="a0"/>
    <w:link w:val="a6"/>
    <w:qFormat/>
    <w:rsid w:val="007B1930"/>
    <w:rPr>
      <w:sz w:val="18"/>
      <w:szCs w:val="18"/>
    </w:rPr>
  </w:style>
  <w:style w:type="character" w:customStyle="1" w:styleId="Char1">
    <w:name w:val="批注框文本 Char"/>
    <w:basedOn w:val="a0"/>
    <w:link w:val="a5"/>
    <w:uiPriority w:val="99"/>
    <w:semiHidden/>
    <w:qFormat/>
    <w:rsid w:val="007B1930"/>
    <w:rPr>
      <w:rFonts w:ascii="Times New Roman" w:eastAsia="宋体" w:hAnsi="Times New Roman" w:cs="Times New Roman"/>
      <w:kern w:val="2"/>
      <w:sz w:val="18"/>
      <w:szCs w:val="18"/>
    </w:rPr>
  </w:style>
  <w:style w:type="character" w:customStyle="1" w:styleId="Char0">
    <w:name w:val="批注文字 Char"/>
    <w:basedOn w:val="a0"/>
    <w:link w:val="a4"/>
    <w:uiPriority w:val="99"/>
    <w:semiHidden/>
    <w:qFormat/>
    <w:rsid w:val="007B1930"/>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sid w:val="007B1930"/>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沈阳市流通领域办公椅产品质量监督抽查实施细则</dc:title>
  <dc:creator>李楠</dc:creator>
  <cp:lastModifiedBy>Administrator</cp:lastModifiedBy>
  <cp:revision>1</cp:revision>
  <cp:lastPrinted>2020-03-09T04:05:00Z</cp:lastPrinted>
  <dcterms:created xsi:type="dcterms:W3CDTF">2020-12-11T09:52:00Z</dcterms:created>
  <dcterms:modified xsi:type="dcterms:W3CDTF">2021-05-19T08:15:00Z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