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EB" w:rsidRDefault="006E7F00">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沈阳市流通领域沙发产品质量监督抽查实施细则</w:t>
      </w:r>
    </w:p>
    <w:p w:rsidR="00242FEB" w:rsidRDefault="00242FEB">
      <w:pPr>
        <w:snapToGrid w:val="0"/>
        <w:spacing w:line="440" w:lineRule="exact"/>
        <w:rPr>
          <w:rFonts w:eastAsia="黑体"/>
          <w:szCs w:val="21"/>
        </w:rPr>
      </w:pPr>
    </w:p>
    <w:p w:rsidR="00242FEB" w:rsidRDefault="006E7F00">
      <w:pPr>
        <w:snapToGrid w:val="0"/>
        <w:spacing w:line="440" w:lineRule="exact"/>
        <w:rPr>
          <w:rFonts w:eastAsia="黑体"/>
          <w:szCs w:val="21"/>
        </w:rPr>
      </w:pPr>
      <w:r>
        <w:rPr>
          <w:rFonts w:eastAsia="黑体"/>
          <w:szCs w:val="21"/>
        </w:rPr>
        <w:t xml:space="preserve">1 </w:t>
      </w:r>
      <w:r>
        <w:rPr>
          <w:rFonts w:eastAsia="黑体"/>
          <w:szCs w:val="21"/>
        </w:rPr>
        <w:t>抽样方法</w:t>
      </w:r>
    </w:p>
    <w:p w:rsidR="00242FEB" w:rsidRDefault="006E7F00">
      <w:pPr>
        <w:snapToGrid w:val="0"/>
        <w:spacing w:line="440" w:lineRule="exact"/>
        <w:ind w:firstLineChars="200" w:firstLine="420"/>
        <w:rPr>
          <w:szCs w:val="21"/>
        </w:rPr>
      </w:pPr>
      <w:r>
        <w:rPr>
          <w:szCs w:val="21"/>
        </w:rPr>
        <w:t>以随机抽样的方式在被抽样</w:t>
      </w:r>
      <w:r>
        <w:rPr>
          <w:rFonts w:hint="eastAsia"/>
          <w:szCs w:val="21"/>
        </w:rPr>
        <w:t>销售</w:t>
      </w:r>
      <w:r>
        <w:rPr>
          <w:szCs w:val="21"/>
        </w:rPr>
        <w:t>者的待销产品中抽取。</w:t>
      </w:r>
    </w:p>
    <w:p w:rsidR="00242FEB" w:rsidRDefault="006E7F00">
      <w:pPr>
        <w:snapToGrid w:val="0"/>
        <w:spacing w:line="440" w:lineRule="exact"/>
        <w:ind w:firstLineChars="200" w:firstLine="420"/>
        <w:rPr>
          <w:szCs w:val="21"/>
        </w:rPr>
      </w:pPr>
      <w:r>
        <w:rPr>
          <w:rFonts w:hint="eastAsia"/>
          <w:szCs w:val="21"/>
        </w:rPr>
        <w:t>随机数一般可使用随机数表、骰子或扑克牌等方法产生。</w:t>
      </w:r>
    </w:p>
    <w:p w:rsidR="00242FEB" w:rsidRDefault="006E7F00">
      <w:pPr>
        <w:snapToGrid w:val="0"/>
        <w:spacing w:line="440" w:lineRule="exact"/>
        <w:ind w:firstLineChars="200" w:firstLine="420"/>
        <w:rPr>
          <w:szCs w:val="21"/>
        </w:rPr>
      </w:pPr>
      <w:r>
        <w:rPr>
          <w:rFonts w:hint="eastAsia"/>
          <w:szCs w:val="21"/>
        </w:rPr>
        <w:t>沙发类产品每批次抽取样品</w:t>
      </w:r>
      <w:r>
        <w:rPr>
          <w:rFonts w:hint="eastAsia"/>
          <w:szCs w:val="21"/>
        </w:rPr>
        <w:t>2</w:t>
      </w:r>
      <w:r>
        <w:rPr>
          <w:rFonts w:hint="eastAsia"/>
          <w:szCs w:val="21"/>
        </w:rPr>
        <w:t>件，其中</w:t>
      </w:r>
      <w:r>
        <w:rPr>
          <w:rFonts w:hint="eastAsia"/>
          <w:szCs w:val="21"/>
        </w:rPr>
        <w:t>1</w:t>
      </w:r>
      <w:r>
        <w:rPr>
          <w:rFonts w:hint="eastAsia"/>
          <w:szCs w:val="21"/>
        </w:rPr>
        <w:t>件作为检验样品，</w:t>
      </w:r>
      <w:r>
        <w:rPr>
          <w:rFonts w:hint="eastAsia"/>
          <w:szCs w:val="21"/>
        </w:rPr>
        <w:t>1</w:t>
      </w:r>
      <w:r>
        <w:rPr>
          <w:rFonts w:hint="eastAsia"/>
          <w:szCs w:val="21"/>
        </w:rPr>
        <w:t>件作为备用样品。</w:t>
      </w:r>
    </w:p>
    <w:p w:rsidR="00242FEB" w:rsidRDefault="006E7F00">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3963"/>
        <w:gridCol w:w="3398"/>
      </w:tblGrid>
      <w:tr w:rsidR="00242FEB">
        <w:trPr>
          <w:trHeight w:val="274"/>
          <w:tblHeader/>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序号</w:t>
            </w:r>
          </w:p>
        </w:tc>
        <w:tc>
          <w:tcPr>
            <w:tcW w:w="3963" w:type="dxa"/>
            <w:vMerge w:val="restart"/>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检验项目</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检测方法</w:t>
            </w:r>
          </w:p>
        </w:tc>
      </w:tr>
      <w:tr w:rsidR="00242FEB">
        <w:trPr>
          <w:trHeight w:val="274"/>
          <w:tblHeader/>
          <w:jc w:val="center"/>
        </w:trPr>
        <w:tc>
          <w:tcPr>
            <w:tcW w:w="1081" w:type="dxa"/>
            <w:vMerge/>
            <w:tcBorders>
              <w:top w:val="single" w:sz="4" w:space="0" w:color="auto"/>
              <w:left w:val="single" w:sz="4" w:space="0" w:color="auto"/>
              <w:bottom w:val="single" w:sz="4" w:space="0" w:color="auto"/>
              <w:right w:val="single" w:sz="4" w:space="0" w:color="auto"/>
            </w:tcBorders>
            <w:vAlign w:val="center"/>
          </w:tcPr>
          <w:p w:rsidR="00242FEB" w:rsidRDefault="00242FEB">
            <w:pPr>
              <w:snapToGrid w:val="0"/>
              <w:ind w:firstLine="420"/>
              <w:jc w:val="center"/>
              <w:rPr>
                <w:rFonts w:ascii="宋体" w:hAnsi="宋体"/>
                <w:szCs w:val="21"/>
              </w:rPr>
            </w:pPr>
          </w:p>
        </w:tc>
        <w:tc>
          <w:tcPr>
            <w:tcW w:w="3963" w:type="dxa"/>
            <w:vMerge/>
            <w:tcBorders>
              <w:top w:val="single" w:sz="4" w:space="0" w:color="auto"/>
              <w:left w:val="single" w:sz="4" w:space="0" w:color="auto"/>
              <w:bottom w:val="single" w:sz="4" w:space="0" w:color="auto"/>
              <w:right w:val="single" w:sz="4" w:space="0" w:color="auto"/>
            </w:tcBorders>
            <w:vAlign w:val="center"/>
          </w:tcPr>
          <w:p w:rsidR="00242FEB" w:rsidRDefault="00242FEB">
            <w:pPr>
              <w:snapToGrid w:val="0"/>
              <w:ind w:firstLine="420"/>
              <w:jc w:val="center"/>
              <w:rPr>
                <w:rFonts w:ascii="宋体" w:hAnsi="宋体"/>
                <w:szCs w:val="21"/>
              </w:rPr>
            </w:pPr>
          </w:p>
        </w:tc>
        <w:tc>
          <w:tcPr>
            <w:tcW w:w="3398" w:type="dxa"/>
            <w:vMerge/>
            <w:tcBorders>
              <w:top w:val="single" w:sz="4" w:space="0" w:color="auto"/>
              <w:left w:val="single" w:sz="4" w:space="0" w:color="auto"/>
              <w:bottom w:val="single" w:sz="4" w:space="0" w:color="auto"/>
              <w:right w:val="single" w:sz="4" w:space="0" w:color="auto"/>
            </w:tcBorders>
            <w:vAlign w:val="center"/>
          </w:tcPr>
          <w:p w:rsidR="00242FEB" w:rsidRDefault="00242FEB">
            <w:pPr>
              <w:snapToGrid w:val="0"/>
              <w:ind w:firstLine="420"/>
              <w:jc w:val="center"/>
              <w:rPr>
                <w:rFonts w:ascii="宋体" w:hAnsi="宋体"/>
                <w:szCs w:val="21"/>
              </w:rPr>
            </w:pP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bookmarkStart w:id="0" w:name="_GoBack" w:colFirst="2" w:colLast="2"/>
            <w:r>
              <w:rPr>
                <w:rFonts w:ascii="宋体" w:hAnsi="宋体" w:hint="eastAsia"/>
                <w:szCs w:val="21"/>
              </w:rPr>
              <w:t>1</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木制件用料、加工要求</w:t>
            </w:r>
            <w:r>
              <w:rPr>
                <w:rFonts w:ascii="宋体" w:hAnsi="宋体" w:hint="eastAsia"/>
                <w:szCs w:val="21"/>
              </w:rPr>
              <w:t>1</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2</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木制件用料、加工要求</w:t>
            </w:r>
            <w:r>
              <w:rPr>
                <w:rFonts w:ascii="宋体" w:hAnsi="宋体" w:hint="eastAsia"/>
                <w:szCs w:val="21"/>
              </w:rPr>
              <w:t>2</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3</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木制件用料、加工要求</w:t>
            </w:r>
            <w:r>
              <w:rPr>
                <w:rFonts w:ascii="宋体" w:hAnsi="宋体" w:hint="eastAsia"/>
                <w:szCs w:val="21"/>
              </w:rPr>
              <w:t>3</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4</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木制件用料、加工要求</w:t>
            </w:r>
            <w:r>
              <w:rPr>
                <w:rFonts w:ascii="宋体" w:hAnsi="宋体" w:hint="eastAsia"/>
                <w:szCs w:val="21"/>
              </w:rPr>
              <w:t>4</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57"/>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5</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金属件用料要求</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6</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铺垫料用料要求</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7</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泡沫塑料</w:t>
            </w:r>
            <w:r>
              <w:rPr>
                <w:rFonts w:ascii="宋体" w:hAnsi="宋体" w:hint="eastAsia"/>
                <w:szCs w:val="21"/>
              </w:rPr>
              <w:t>/</w:t>
            </w:r>
            <w:r>
              <w:rPr>
                <w:rFonts w:ascii="宋体" w:hAnsi="宋体" w:hint="eastAsia"/>
                <w:szCs w:val="21"/>
              </w:rPr>
              <w:t>座面表观密度</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8</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泡沫塑料</w:t>
            </w:r>
            <w:r>
              <w:rPr>
                <w:rFonts w:ascii="宋体" w:hAnsi="宋体" w:hint="eastAsia"/>
                <w:szCs w:val="21"/>
              </w:rPr>
              <w:t>/</w:t>
            </w:r>
            <w:r>
              <w:rPr>
                <w:rFonts w:ascii="宋体" w:hAnsi="宋体" w:hint="eastAsia"/>
                <w:szCs w:val="21"/>
              </w:rPr>
              <w:t>回弹性能（除慢回弹泡沫塑料外）</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57"/>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9</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泡沫塑料</w:t>
            </w:r>
            <w:r>
              <w:rPr>
                <w:rFonts w:ascii="宋体" w:hAnsi="宋体" w:hint="eastAsia"/>
                <w:szCs w:val="21"/>
              </w:rPr>
              <w:t>/</w:t>
            </w:r>
            <w:r>
              <w:rPr>
                <w:rFonts w:ascii="宋体" w:hAnsi="宋体" w:hint="eastAsia"/>
                <w:szCs w:val="21"/>
              </w:rPr>
              <w:t>压缩永久变形</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47"/>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10</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防锈处理</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adjustRightInd w:val="0"/>
              <w:snapToGrid w:val="0"/>
              <w:spacing w:before="156" w:after="156"/>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11</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摩</w:t>
            </w:r>
            <w:r>
              <w:rPr>
                <w:rFonts w:ascii="宋体" w:hAnsi="宋体" w:hint="eastAsia"/>
                <w:szCs w:val="21"/>
              </w:rPr>
              <w:t xml:space="preserve"> </w:t>
            </w:r>
            <w:r>
              <w:rPr>
                <w:rFonts w:ascii="宋体" w:hAnsi="宋体" w:hint="eastAsia"/>
                <w:szCs w:val="21"/>
              </w:rPr>
              <w:t>擦</w:t>
            </w:r>
            <w:r>
              <w:rPr>
                <w:rFonts w:ascii="宋体" w:hAnsi="宋体" w:hint="eastAsia"/>
                <w:szCs w:val="21"/>
              </w:rPr>
              <w:t xml:space="preserve"> </w:t>
            </w:r>
            <w:r>
              <w:rPr>
                <w:rFonts w:ascii="宋体" w:hAnsi="宋体" w:hint="eastAsia"/>
                <w:szCs w:val="21"/>
              </w:rPr>
              <w:t>声</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12</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面料外观性能要求</w:t>
            </w:r>
            <w:r>
              <w:rPr>
                <w:rFonts w:ascii="宋体" w:hAnsi="宋体" w:hint="eastAsia"/>
                <w:szCs w:val="21"/>
              </w:rPr>
              <w:t>1</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57"/>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13</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面料外观性能要求</w:t>
            </w:r>
            <w:r>
              <w:rPr>
                <w:rFonts w:ascii="宋体" w:hAnsi="宋体" w:hint="eastAsia"/>
                <w:szCs w:val="21"/>
              </w:rPr>
              <w:t>2</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14</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金属件外观性能要求</w:t>
            </w:r>
            <w:r>
              <w:rPr>
                <w:rFonts w:ascii="宋体" w:hAnsi="宋体" w:hint="eastAsia"/>
                <w:szCs w:val="21"/>
              </w:rPr>
              <w:t>1</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15</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金属件外观性能要求</w:t>
            </w:r>
            <w:r>
              <w:rPr>
                <w:rFonts w:ascii="宋体" w:hAnsi="宋体" w:hint="eastAsia"/>
                <w:szCs w:val="21"/>
              </w:rPr>
              <w:t>2</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16</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金属件外观性能要求</w:t>
            </w:r>
            <w:r>
              <w:rPr>
                <w:rFonts w:ascii="宋体" w:hAnsi="宋体" w:hint="eastAsia"/>
                <w:szCs w:val="21"/>
              </w:rPr>
              <w:t>3</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17</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木制件外观性能要求</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57"/>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18</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饰面外观性能要求</w:t>
            </w:r>
            <w:r>
              <w:rPr>
                <w:rFonts w:ascii="宋体" w:hAnsi="宋体" w:hint="eastAsia"/>
                <w:szCs w:val="21"/>
              </w:rPr>
              <w:t>1</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19</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饰面外观性能要求</w:t>
            </w:r>
            <w:r>
              <w:rPr>
                <w:rFonts w:ascii="宋体" w:hAnsi="宋体" w:hint="eastAsia"/>
                <w:szCs w:val="21"/>
              </w:rPr>
              <w:t>2</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701"/>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lastRenderedPageBreak/>
              <w:t>20</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木制件漆膜涂层理化性能要求：附着力（交叉切割法）</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21</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木制件漆膜涂层理化性能要求：耐磨性</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22</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木制件漆膜涂层理化性能要求：耐冷热温差</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23</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木制件漆膜涂层理化性能要求：抗冲击</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57"/>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24</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金属件表面涂层理化性能要求：附着力</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25</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金属件表面涂层理化性能要求：耐腐蚀</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26</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金属件电镀层理化性能要求：耐腐蚀</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27</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覆面材料理化性能：面料颜色干摩擦牢度</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57"/>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28</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覆面材料理化性能：纺织面料耐酸汗渍色牢度</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29</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覆面材料理化性能：纺织面料耐碱汗渍色牢度</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30</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覆面材料理化性能：皮革涂层粘着牢度</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549"/>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31</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jc w:val="center"/>
              <w:rPr>
                <w:rFonts w:ascii="宋体" w:hAnsi="宋体"/>
                <w:szCs w:val="21"/>
              </w:rPr>
            </w:pPr>
            <w:r>
              <w:rPr>
                <w:rFonts w:ascii="宋体" w:hAnsi="宋体" w:hint="eastAsia"/>
                <w:szCs w:val="21"/>
              </w:rPr>
              <w:t>沙发座背及扶手</w:t>
            </w:r>
          </w:p>
          <w:p w:rsidR="00242FEB" w:rsidRDefault="006E7F00">
            <w:pPr>
              <w:snapToGrid w:val="0"/>
              <w:jc w:val="center"/>
              <w:rPr>
                <w:rFonts w:ascii="宋体" w:hAnsi="宋体"/>
                <w:szCs w:val="21"/>
              </w:rPr>
            </w:pPr>
            <w:r>
              <w:rPr>
                <w:rFonts w:ascii="宋体" w:hAnsi="宋体" w:hint="eastAsia"/>
                <w:szCs w:val="21"/>
              </w:rPr>
              <w:t>耐</w:t>
            </w:r>
            <w:r>
              <w:rPr>
                <w:rFonts w:ascii="宋体" w:hAnsi="宋体" w:hint="eastAsia"/>
                <w:szCs w:val="21"/>
              </w:rPr>
              <w:t xml:space="preserve"> </w:t>
            </w:r>
            <w:r>
              <w:rPr>
                <w:rFonts w:ascii="宋体" w:hAnsi="宋体" w:hint="eastAsia"/>
                <w:szCs w:val="21"/>
              </w:rPr>
              <w:t>久</w:t>
            </w:r>
            <w:r>
              <w:rPr>
                <w:rFonts w:ascii="宋体" w:hAnsi="宋体" w:hint="eastAsia"/>
                <w:szCs w:val="21"/>
              </w:rPr>
              <w:t xml:space="preserve"> </w:t>
            </w:r>
            <w:r>
              <w:rPr>
                <w:rFonts w:ascii="宋体" w:hAnsi="宋体" w:hint="eastAsia"/>
                <w:szCs w:val="21"/>
              </w:rPr>
              <w:t>性</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32</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jc w:val="center"/>
              <w:rPr>
                <w:rFonts w:ascii="宋体" w:hAnsi="宋体"/>
                <w:szCs w:val="21"/>
              </w:rPr>
            </w:pPr>
            <w:r>
              <w:rPr>
                <w:rFonts w:ascii="宋体" w:hAnsi="宋体" w:hint="eastAsia"/>
                <w:szCs w:val="21"/>
              </w:rPr>
              <w:t>安全性能</w:t>
            </w:r>
            <w:r>
              <w:rPr>
                <w:rFonts w:ascii="宋体" w:hAnsi="宋体" w:hint="eastAsia"/>
                <w:szCs w:val="21"/>
              </w:rPr>
              <w:t>1</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33</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jc w:val="center"/>
              <w:rPr>
                <w:rFonts w:ascii="宋体" w:hAnsi="宋体"/>
                <w:szCs w:val="21"/>
              </w:rPr>
            </w:pPr>
            <w:r>
              <w:rPr>
                <w:rFonts w:ascii="宋体" w:hAnsi="宋体" w:hint="eastAsia"/>
                <w:szCs w:val="21"/>
              </w:rPr>
              <w:t>安全性能</w:t>
            </w:r>
            <w:r>
              <w:rPr>
                <w:rFonts w:ascii="宋体" w:hAnsi="宋体" w:hint="eastAsia"/>
                <w:szCs w:val="21"/>
              </w:rPr>
              <w:t>2</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57"/>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34</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jc w:val="center"/>
              <w:rPr>
                <w:rFonts w:ascii="宋体" w:hAnsi="宋体"/>
                <w:szCs w:val="21"/>
              </w:rPr>
            </w:pPr>
            <w:r>
              <w:rPr>
                <w:rFonts w:ascii="宋体" w:hAnsi="宋体" w:hint="eastAsia"/>
                <w:szCs w:val="21"/>
              </w:rPr>
              <w:t>安全性能</w:t>
            </w:r>
            <w:r>
              <w:rPr>
                <w:rFonts w:ascii="宋体" w:hAnsi="宋体" w:hint="eastAsia"/>
                <w:szCs w:val="21"/>
              </w:rPr>
              <w:t>3</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r w:rsidR="00242FEB">
        <w:trPr>
          <w:trHeight w:val="472"/>
          <w:jc w:val="center"/>
        </w:trPr>
        <w:tc>
          <w:tcPr>
            <w:tcW w:w="1081" w:type="dxa"/>
            <w:tcBorders>
              <w:top w:val="single" w:sz="4" w:space="0" w:color="auto"/>
              <w:left w:val="single" w:sz="4" w:space="0" w:color="auto"/>
              <w:bottom w:val="single" w:sz="4" w:space="0" w:color="auto"/>
              <w:right w:val="single" w:sz="4" w:space="0" w:color="auto"/>
            </w:tcBorders>
            <w:vAlign w:val="center"/>
          </w:tcPr>
          <w:p w:rsidR="00242FEB" w:rsidRDefault="006E7F00">
            <w:pPr>
              <w:snapToGrid w:val="0"/>
              <w:jc w:val="center"/>
              <w:rPr>
                <w:rFonts w:ascii="宋体" w:hAnsi="宋体"/>
                <w:szCs w:val="21"/>
              </w:rPr>
            </w:pPr>
            <w:r>
              <w:rPr>
                <w:rFonts w:ascii="宋体" w:hAnsi="宋体" w:hint="eastAsia"/>
                <w:szCs w:val="21"/>
              </w:rPr>
              <w:t>35</w:t>
            </w:r>
          </w:p>
        </w:tc>
        <w:tc>
          <w:tcPr>
            <w:tcW w:w="3963" w:type="dxa"/>
            <w:tcBorders>
              <w:top w:val="single" w:sz="4" w:space="0" w:color="auto"/>
              <w:left w:val="single" w:sz="4" w:space="0" w:color="auto"/>
              <w:bottom w:val="single" w:sz="4" w:space="0" w:color="auto"/>
              <w:right w:val="single" w:sz="4" w:space="0" w:color="auto"/>
            </w:tcBorders>
            <w:vAlign w:val="center"/>
          </w:tcPr>
          <w:p w:rsidR="00242FEB" w:rsidRDefault="006E7F00">
            <w:pPr>
              <w:jc w:val="center"/>
              <w:rPr>
                <w:rFonts w:ascii="宋体" w:hAnsi="宋体"/>
                <w:szCs w:val="21"/>
              </w:rPr>
            </w:pPr>
            <w:r>
              <w:rPr>
                <w:rFonts w:ascii="宋体" w:hAnsi="宋体" w:hint="eastAsia"/>
                <w:szCs w:val="21"/>
              </w:rPr>
              <w:t>安全性能</w:t>
            </w:r>
            <w:r>
              <w:rPr>
                <w:rFonts w:ascii="宋体" w:hAnsi="宋体" w:hint="eastAsia"/>
                <w:szCs w:val="21"/>
              </w:rPr>
              <w:t>4</w:t>
            </w:r>
          </w:p>
        </w:tc>
        <w:tc>
          <w:tcPr>
            <w:tcW w:w="3398" w:type="dxa"/>
            <w:tcBorders>
              <w:top w:val="single" w:sz="4" w:space="0" w:color="auto"/>
              <w:left w:val="single" w:sz="4" w:space="0" w:color="auto"/>
              <w:bottom w:val="single" w:sz="4" w:space="0" w:color="auto"/>
              <w:right w:val="single" w:sz="4" w:space="0" w:color="auto"/>
            </w:tcBorders>
            <w:vAlign w:val="center"/>
          </w:tcPr>
          <w:p w:rsidR="00242FEB" w:rsidRPr="003E1E19" w:rsidRDefault="006E7F00">
            <w:pPr>
              <w:snapToGrid w:val="0"/>
              <w:jc w:val="center"/>
              <w:rPr>
                <w:rFonts w:ascii="宋体" w:hAnsi="宋体"/>
                <w:szCs w:val="21"/>
              </w:rPr>
            </w:pPr>
            <w:r w:rsidRPr="003E1E19">
              <w:rPr>
                <w:rFonts w:ascii="宋体" w:hAnsi="宋体" w:hint="eastAsia"/>
                <w:szCs w:val="21"/>
              </w:rPr>
              <w:t>QB/T1952.1-2012</w:t>
            </w:r>
          </w:p>
        </w:tc>
      </w:tr>
    </w:tbl>
    <w:bookmarkEnd w:id="0"/>
    <w:p w:rsidR="00242FEB" w:rsidRDefault="006E7F00">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242FEB" w:rsidRDefault="006E7F00">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242FEB" w:rsidRDefault="006E7F00">
      <w:pPr>
        <w:spacing w:line="440" w:lineRule="exact"/>
        <w:rPr>
          <w:rFonts w:eastAsia="黑体"/>
          <w:szCs w:val="21"/>
        </w:rPr>
      </w:pPr>
      <w:r>
        <w:rPr>
          <w:rFonts w:eastAsia="黑体"/>
          <w:szCs w:val="21"/>
        </w:rPr>
        <w:t xml:space="preserve">3 </w:t>
      </w:r>
      <w:r>
        <w:rPr>
          <w:rFonts w:eastAsia="黑体"/>
          <w:szCs w:val="21"/>
        </w:rPr>
        <w:t>判定规则</w:t>
      </w:r>
    </w:p>
    <w:p w:rsidR="00242FEB" w:rsidRDefault="006E7F00">
      <w:pPr>
        <w:snapToGrid w:val="0"/>
        <w:spacing w:line="440" w:lineRule="exact"/>
        <w:rPr>
          <w:szCs w:val="21"/>
        </w:rPr>
      </w:pPr>
      <w:r>
        <w:rPr>
          <w:szCs w:val="21"/>
        </w:rPr>
        <w:t>3.1</w:t>
      </w:r>
      <w:r>
        <w:rPr>
          <w:szCs w:val="21"/>
        </w:rPr>
        <w:t>依据标准</w:t>
      </w:r>
    </w:p>
    <w:p w:rsidR="00242FEB" w:rsidRDefault="006E7F00">
      <w:pPr>
        <w:snapToGrid w:val="0"/>
        <w:spacing w:line="440" w:lineRule="exact"/>
        <w:ind w:firstLineChars="200" w:firstLine="420"/>
        <w:rPr>
          <w:szCs w:val="21"/>
        </w:rPr>
      </w:pPr>
      <w:r>
        <w:rPr>
          <w:rFonts w:hint="eastAsia"/>
          <w:szCs w:val="21"/>
        </w:rPr>
        <w:t xml:space="preserve">QB/T1952.1-2012    </w:t>
      </w:r>
      <w:r>
        <w:rPr>
          <w:rFonts w:hint="eastAsia"/>
          <w:szCs w:val="21"/>
        </w:rPr>
        <w:t>软体家具沙发</w:t>
      </w:r>
    </w:p>
    <w:p w:rsidR="00242FEB" w:rsidRDefault="006E7F00">
      <w:pPr>
        <w:snapToGrid w:val="0"/>
        <w:spacing w:line="440" w:lineRule="exact"/>
        <w:ind w:firstLineChars="200" w:firstLine="420"/>
        <w:rPr>
          <w:szCs w:val="21"/>
        </w:rPr>
      </w:pPr>
      <w:r>
        <w:rPr>
          <w:szCs w:val="21"/>
        </w:rPr>
        <w:t>现行有效的企业标准、团体标准、地方标准及产品明示质量要求</w:t>
      </w:r>
    </w:p>
    <w:p w:rsidR="00242FEB" w:rsidRDefault="006E7F00">
      <w:pPr>
        <w:snapToGrid w:val="0"/>
        <w:spacing w:line="440" w:lineRule="exact"/>
        <w:rPr>
          <w:szCs w:val="21"/>
        </w:rPr>
      </w:pPr>
      <w:r>
        <w:rPr>
          <w:szCs w:val="21"/>
        </w:rPr>
        <w:t>3.2</w:t>
      </w:r>
      <w:r>
        <w:rPr>
          <w:szCs w:val="21"/>
        </w:rPr>
        <w:t>判定原则</w:t>
      </w:r>
    </w:p>
    <w:p w:rsidR="00242FEB" w:rsidRDefault="006E7F00">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242FEB" w:rsidRDefault="006E7F00">
      <w:pPr>
        <w:snapToGrid w:val="0"/>
        <w:spacing w:line="440" w:lineRule="exact"/>
        <w:ind w:firstLineChars="200" w:firstLine="420"/>
        <w:rPr>
          <w:szCs w:val="21"/>
        </w:rPr>
      </w:pPr>
      <w:r>
        <w:rPr>
          <w:szCs w:val="21"/>
        </w:rPr>
        <w:lastRenderedPageBreak/>
        <w:t>若被检产品明示的质量要求高于本细则中检验项目依据的标准要求时，应按被检产品明示的质量要求判定。</w:t>
      </w:r>
    </w:p>
    <w:p w:rsidR="00242FEB" w:rsidRDefault="006E7F00">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242FEB" w:rsidRDefault="006E7F00">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242FEB" w:rsidRDefault="006E7F00">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242FEB" w:rsidRDefault="006E7F00">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242FEB" w:rsidSect="00242FEB">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F00" w:rsidRDefault="006E7F00" w:rsidP="00242FEB">
      <w:r>
        <w:separator/>
      </w:r>
    </w:p>
  </w:endnote>
  <w:endnote w:type="continuationSeparator" w:id="1">
    <w:p w:rsidR="006E7F00" w:rsidRDefault="006E7F00" w:rsidP="00242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FEB" w:rsidRDefault="00242FEB">
    <w:pPr>
      <w:pStyle w:val="a6"/>
      <w:framePr w:wrap="around" w:vAnchor="text" w:hAnchor="margin" w:xAlign="center" w:y="1"/>
      <w:rPr>
        <w:rStyle w:val="a8"/>
      </w:rPr>
    </w:pPr>
    <w:r>
      <w:fldChar w:fldCharType="begin"/>
    </w:r>
    <w:r w:rsidR="006E7F00">
      <w:rPr>
        <w:rStyle w:val="a8"/>
      </w:rPr>
      <w:instrText xml:space="preserve">PAGE  </w:instrText>
    </w:r>
    <w:r>
      <w:fldChar w:fldCharType="end"/>
    </w:r>
  </w:p>
  <w:p w:rsidR="00242FEB" w:rsidRDefault="00242F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F00" w:rsidRDefault="006E7F00" w:rsidP="00242FEB">
      <w:r>
        <w:separator/>
      </w:r>
    </w:p>
  </w:footnote>
  <w:footnote w:type="continuationSeparator" w:id="1">
    <w:p w:rsidR="006E7F00" w:rsidRDefault="006E7F00" w:rsidP="00242F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7A3C"/>
    <w:rsid w:val="00006EDB"/>
    <w:rsid w:val="00042353"/>
    <w:rsid w:val="000858BC"/>
    <w:rsid w:val="000E2652"/>
    <w:rsid w:val="000F6FD6"/>
    <w:rsid w:val="00152127"/>
    <w:rsid w:val="00160A40"/>
    <w:rsid w:val="0016744D"/>
    <w:rsid w:val="001674CA"/>
    <w:rsid w:val="00183DF2"/>
    <w:rsid w:val="001A37F6"/>
    <w:rsid w:val="001B0124"/>
    <w:rsid w:val="001C2F8E"/>
    <w:rsid w:val="001C5880"/>
    <w:rsid w:val="00242FEB"/>
    <w:rsid w:val="002A00BD"/>
    <w:rsid w:val="002D60E0"/>
    <w:rsid w:val="003226D8"/>
    <w:rsid w:val="00332E46"/>
    <w:rsid w:val="0035729B"/>
    <w:rsid w:val="003740BF"/>
    <w:rsid w:val="00385221"/>
    <w:rsid w:val="003E1E19"/>
    <w:rsid w:val="003E2406"/>
    <w:rsid w:val="003F22E4"/>
    <w:rsid w:val="003F55F3"/>
    <w:rsid w:val="004443C7"/>
    <w:rsid w:val="004510D0"/>
    <w:rsid w:val="00464003"/>
    <w:rsid w:val="00464765"/>
    <w:rsid w:val="004C33E2"/>
    <w:rsid w:val="004D4755"/>
    <w:rsid w:val="0056090F"/>
    <w:rsid w:val="00564F31"/>
    <w:rsid w:val="005650CA"/>
    <w:rsid w:val="00566001"/>
    <w:rsid w:val="005857C9"/>
    <w:rsid w:val="00597910"/>
    <w:rsid w:val="005E78DD"/>
    <w:rsid w:val="005F23E6"/>
    <w:rsid w:val="006167E6"/>
    <w:rsid w:val="006455A0"/>
    <w:rsid w:val="006972FE"/>
    <w:rsid w:val="006A59B8"/>
    <w:rsid w:val="006C383C"/>
    <w:rsid w:val="006D083D"/>
    <w:rsid w:val="006E7F00"/>
    <w:rsid w:val="006F6BBA"/>
    <w:rsid w:val="00710956"/>
    <w:rsid w:val="00727D45"/>
    <w:rsid w:val="00732B06"/>
    <w:rsid w:val="00772E0C"/>
    <w:rsid w:val="00784947"/>
    <w:rsid w:val="00784ECC"/>
    <w:rsid w:val="0079079B"/>
    <w:rsid w:val="007923F2"/>
    <w:rsid w:val="007D1384"/>
    <w:rsid w:val="00851391"/>
    <w:rsid w:val="008B7736"/>
    <w:rsid w:val="008E2605"/>
    <w:rsid w:val="008F71FA"/>
    <w:rsid w:val="00905F11"/>
    <w:rsid w:val="0091791B"/>
    <w:rsid w:val="0092135B"/>
    <w:rsid w:val="0094651A"/>
    <w:rsid w:val="00947015"/>
    <w:rsid w:val="0099133D"/>
    <w:rsid w:val="009E3134"/>
    <w:rsid w:val="009E6E78"/>
    <w:rsid w:val="00A63F91"/>
    <w:rsid w:val="00A84283"/>
    <w:rsid w:val="00A86C22"/>
    <w:rsid w:val="00AA04BB"/>
    <w:rsid w:val="00AB3565"/>
    <w:rsid w:val="00AC4C6B"/>
    <w:rsid w:val="00AC5B64"/>
    <w:rsid w:val="00AD3EBB"/>
    <w:rsid w:val="00AE7467"/>
    <w:rsid w:val="00B42402"/>
    <w:rsid w:val="00B4362E"/>
    <w:rsid w:val="00B5765C"/>
    <w:rsid w:val="00BA2BCF"/>
    <w:rsid w:val="00BB0A03"/>
    <w:rsid w:val="00BB473C"/>
    <w:rsid w:val="00C124F2"/>
    <w:rsid w:val="00C765EA"/>
    <w:rsid w:val="00C91FAD"/>
    <w:rsid w:val="00C959A2"/>
    <w:rsid w:val="00CB4CFA"/>
    <w:rsid w:val="00CC3433"/>
    <w:rsid w:val="00CD0567"/>
    <w:rsid w:val="00CE7A3C"/>
    <w:rsid w:val="00D11AB1"/>
    <w:rsid w:val="00D860AC"/>
    <w:rsid w:val="00DA2AEF"/>
    <w:rsid w:val="00DB4433"/>
    <w:rsid w:val="00DE27E4"/>
    <w:rsid w:val="00E00285"/>
    <w:rsid w:val="00E81CDA"/>
    <w:rsid w:val="00E83290"/>
    <w:rsid w:val="00EC602B"/>
    <w:rsid w:val="00ED0F75"/>
    <w:rsid w:val="00F1617D"/>
    <w:rsid w:val="00F35FF2"/>
    <w:rsid w:val="00F40B46"/>
    <w:rsid w:val="00F806BC"/>
    <w:rsid w:val="00F82204"/>
    <w:rsid w:val="00FA474F"/>
    <w:rsid w:val="00FC626B"/>
    <w:rsid w:val="0A7C6F3F"/>
    <w:rsid w:val="0C7524DA"/>
    <w:rsid w:val="145D7200"/>
    <w:rsid w:val="14BC550F"/>
    <w:rsid w:val="150243CF"/>
    <w:rsid w:val="183D15CD"/>
    <w:rsid w:val="22C439A8"/>
    <w:rsid w:val="232259B1"/>
    <w:rsid w:val="25F63A90"/>
    <w:rsid w:val="2EBD4E5E"/>
    <w:rsid w:val="33935754"/>
    <w:rsid w:val="4166035D"/>
    <w:rsid w:val="42910561"/>
    <w:rsid w:val="438E1DC6"/>
    <w:rsid w:val="46EC695D"/>
    <w:rsid w:val="495F0FDE"/>
    <w:rsid w:val="4F4677F4"/>
    <w:rsid w:val="575368DE"/>
    <w:rsid w:val="59D81B5E"/>
    <w:rsid w:val="5BA54263"/>
    <w:rsid w:val="66567E48"/>
    <w:rsid w:val="67C52C48"/>
    <w:rsid w:val="6AF21B11"/>
    <w:rsid w:val="6E7039B0"/>
    <w:rsid w:val="76AD6648"/>
    <w:rsid w:val="7B710D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semiHidden="0" w:uiPriority="99" w:qFormat="1"/>
    <w:lsdException w:name="footer" w:semiHidden="0" w:qFormat="1"/>
    <w:lsdException w:name="caption" w:uiPriority="35" w:qFormat="1"/>
    <w:lsdException w:name="annotation reference" w:uiPriority="99"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42FEB"/>
    <w:rPr>
      <w:b/>
      <w:bCs/>
    </w:rPr>
  </w:style>
  <w:style w:type="paragraph" w:styleId="a4">
    <w:name w:val="annotation text"/>
    <w:basedOn w:val="a"/>
    <w:link w:val="Char0"/>
    <w:uiPriority w:val="99"/>
    <w:unhideWhenUsed/>
    <w:qFormat/>
    <w:rsid w:val="00242FEB"/>
    <w:pPr>
      <w:jc w:val="left"/>
    </w:pPr>
  </w:style>
  <w:style w:type="paragraph" w:styleId="a5">
    <w:name w:val="Balloon Text"/>
    <w:basedOn w:val="a"/>
    <w:link w:val="Char1"/>
    <w:uiPriority w:val="99"/>
    <w:unhideWhenUsed/>
    <w:qFormat/>
    <w:rsid w:val="00242FEB"/>
    <w:rPr>
      <w:sz w:val="18"/>
      <w:szCs w:val="18"/>
    </w:rPr>
  </w:style>
  <w:style w:type="paragraph" w:styleId="a6">
    <w:name w:val="footer"/>
    <w:basedOn w:val="a"/>
    <w:link w:val="Char2"/>
    <w:unhideWhenUsed/>
    <w:qFormat/>
    <w:rsid w:val="00242FEB"/>
    <w:pPr>
      <w:tabs>
        <w:tab w:val="center" w:pos="4153"/>
        <w:tab w:val="right" w:pos="8306"/>
      </w:tabs>
      <w:snapToGrid w:val="0"/>
      <w:jc w:val="left"/>
    </w:pPr>
    <w:rPr>
      <w:rFonts w:ascii="Calibri" w:hAnsi="Calibri" w:cs="黑体"/>
      <w:sz w:val="18"/>
      <w:szCs w:val="18"/>
    </w:rPr>
  </w:style>
  <w:style w:type="paragraph" w:styleId="a7">
    <w:name w:val="header"/>
    <w:basedOn w:val="a"/>
    <w:link w:val="Char3"/>
    <w:uiPriority w:val="99"/>
    <w:unhideWhenUsed/>
    <w:qFormat/>
    <w:rsid w:val="00242FEB"/>
    <w:pPr>
      <w:pBdr>
        <w:bottom w:val="single" w:sz="6" w:space="1" w:color="auto"/>
      </w:pBdr>
      <w:tabs>
        <w:tab w:val="center" w:pos="4153"/>
        <w:tab w:val="right" w:pos="8306"/>
      </w:tabs>
      <w:snapToGrid w:val="0"/>
      <w:jc w:val="center"/>
    </w:pPr>
    <w:rPr>
      <w:rFonts w:ascii="Calibri" w:hAnsi="Calibri" w:cs="黑体"/>
      <w:sz w:val="18"/>
      <w:szCs w:val="18"/>
    </w:rPr>
  </w:style>
  <w:style w:type="character" w:styleId="a8">
    <w:name w:val="page number"/>
    <w:basedOn w:val="a0"/>
    <w:qFormat/>
    <w:rsid w:val="00242FEB"/>
  </w:style>
  <w:style w:type="character" w:styleId="a9">
    <w:name w:val="annotation reference"/>
    <w:basedOn w:val="a0"/>
    <w:uiPriority w:val="99"/>
    <w:unhideWhenUsed/>
    <w:qFormat/>
    <w:rsid w:val="00242FEB"/>
    <w:rPr>
      <w:sz w:val="21"/>
      <w:szCs w:val="21"/>
    </w:rPr>
  </w:style>
  <w:style w:type="table" w:styleId="aa">
    <w:name w:val="Table Grid"/>
    <w:basedOn w:val="a1"/>
    <w:qFormat/>
    <w:rsid w:val="00242FE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242FEB"/>
    <w:rPr>
      <w:sz w:val="18"/>
      <w:szCs w:val="18"/>
    </w:rPr>
  </w:style>
  <w:style w:type="character" w:customStyle="1" w:styleId="Char2">
    <w:name w:val="页脚 Char"/>
    <w:basedOn w:val="a0"/>
    <w:link w:val="a6"/>
    <w:qFormat/>
    <w:rsid w:val="00242FEB"/>
    <w:rPr>
      <w:sz w:val="18"/>
      <w:szCs w:val="18"/>
    </w:rPr>
  </w:style>
  <w:style w:type="character" w:customStyle="1" w:styleId="Char1">
    <w:name w:val="批注框文本 Char"/>
    <w:basedOn w:val="a0"/>
    <w:link w:val="a5"/>
    <w:uiPriority w:val="99"/>
    <w:semiHidden/>
    <w:qFormat/>
    <w:rsid w:val="00242FEB"/>
    <w:rPr>
      <w:rFonts w:ascii="Times New Roman" w:eastAsia="宋体" w:hAnsi="Times New Roman" w:cs="Times New Roman"/>
      <w:kern w:val="2"/>
      <w:sz w:val="18"/>
      <w:szCs w:val="18"/>
    </w:rPr>
  </w:style>
  <w:style w:type="character" w:customStyle="1" w:styleId="Char0">
    <w:name w:val="批注文字 Char"/>
    <w:basedOn w:val="a0"/>
    <w:link w:val="a4"/>
    <w:uiPriority w:val="99"/>
    <w:semiHidden/>
    <w:qFormat/>
    <w:rsid w:val="00242FEB"/>
    <w:rPr>
      <w:rFonts w:ascii="Times New Roman" w:eastAsia="宋体" w:hAnsi="Times New Roman" w:cs="Times New Roman"/>
      <w:kern w:val="2"/>
      <w:sz w:val="21"/>
      <w:szCs w:val="24"/>
    </w:rPr>
  </w:style>
  <w:style w:type="character" w:customStyle="1" w:styleId="Char">
    <w:name w:val="批注主题 Char"/>
    <w:basedOn w:val="Char0"/>
    <w:link w:val="a3"/>
    <w:uiPriority w:val="99"/>
    <w:semiHidden/>
    <w:qFormat/>
    <w:rsid w:val="00242FEB"/>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Company>Microsoft</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沈阳市流通领域沙发产品质量监督抽查实施细则</dc:title>
  <dc:creator>李楠</dc:creator>
  <cp:lastModifiedBy>Administrator</cp:lastModifiedBy>
  <cp:revision>2</cp:revision>
  <cp:lastPrinted>2020-03-09T04:05:00Z</cp:lastPrinted>
  <dcterms:created xsi:type="dcterms:W3CDTF">2020-12-11T09:52:00Z</dcterms:created>
  <dcterms:modified xsi:type="dcterms:W3CDTF">2021-05-19T08:08:00Z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