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90C" w:rsidRDefault="0040224F">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沈阳市电热毯产品质量监督抽查实施细则</w:t>
      </w:r>
    </w:p>
    <w:p w:rsidR="00B6190C" w:rsidRDefault="00B6190C">
      <w:pPr>
        <w:snapToGrid w:val="0"/>
        <w:spacing w:line="440" w:lineRule="exact"/>
        <w:rPr>
          <w:rFonts w:eastAsia="黑体"/>
          <w:szCs w:val="21"/>
        </w:rPr>
      </w:pPr>
    </w:p>
    <w:p w:rsidR="00B6190C" w:rsidRDefault="0040224F">
      <w:pPr>
        <w:snapToGrid w:val="0"/>
        <w:spacing w:line="440" w:lineRule="exact"/>
        <w:rPr>
          <w:rFonts w:eastAsia="黑体"/>
          <w:szCs w:val="21"/>
        </w:rPr>
      </w:pPr>
      <w:r>
        <w:rPr>
          <w:rFonts w:eastAsia="黑体"/>
          <w:szCs w:val="21"/>
        </w:rPr>
        <w:t xml:space="preserve">1 </w:t>
      </w:r>
      <w:r>
        <w:rPr>
          <w:rFonts w:eastAsia="黑体"/>
          <w:szCs w:val="21"/>
        </w:rPr>
        <w:t>抽样方法</w:t>
      </w:r>
    </w:p>
    <w:p w:rsidR="00B6190C" w:rsidRDefault="00D9539E">
      <w:pPr>
        <w:snapToGrid w:val="0"/>
        <w:spacing w:line="440" w:lineRule="exact"/>
        <w:ind w:firstLineChars="200" w:firstLine="420"/>
        <w:rPr>
          <w:szCs w:val="21"/>
        </w:rPr>
      </w:pPr>
      <w:r>
        <w:rPr>
          <w:szCs w:val="21"/>
        </w:rPr>
        <w:t>以随机抽样的方式在被抽样生产者的待销产品中抽</w:t>
      </w:r>
      <w:r w:rsidR="00365163">
        <w:rPr>
          <w:rFonts w:hint="eastAsia"/>
          <w:szCs w:val="21"/>
        </w:rPr>
        <w:t>取</w:t>
      </w:r>
      <w:r w:rsidR="0040224F">
        <w:rPr>
          <w:szCs w:val="21"/>
        </w:rPr>
        <w:t>。</w:t>
      </w:r>
    </w:p>
    <w:p w:rsidR="00B6190C" w:rsidRDefault="0040224F">
      <w:pPr>
        <w:snapToGrid w:val="0"/>
        <w:spacing w:line="440" w:lineRule="exact"/>
        <w:ind w:firstLineChars="200" w:firstLine="420"/>
        <w:rPr>
          <w:szCs w:val="21"/>
        </w:rPr>
      </w:pPr>
      <w:r>
        <w:rPr>
          <w:rFonts w:hint="eastAsia"/>
          <w:szCs w:val="21"/>
        </w:rPr>
        <w:t>随机数一般可使用随机数表、骰子或扑克牌等方法产生。</w:t>
      </w:r>
    </w:p>
    <w:p w:rsidR="00B6190C" w:rsidRPr="002C4624" w:rsidRDefault="0040224F">
      <w:pPr>
        <w:snapToGrid w:val="0"/>
        <w:spacing w:line="440" w:lineRule="exact"/>
        <w:ind w:firstLineChars="200" w:firstLine="420"/>
        <w:rPr>
          <w:szCs w:val="21"/>
        </w:rPr>
      </w:pPr>
      <w:r w:rsidRPr="002C4624">
        <w:rPr>
          <w:rFonts w:hint="eastAsia"/>
          <w:szCs w:val="21"/>
        </w:rPr>
        <w:t>电热毯类产品每批次抽取</w:t>
      </w:r>
      <w:r w:rsidRPr="002C4624">
        <w:rPr>
          <w:rFonts w:hint="eastAsia"/>
          <w:szCs w:val="21"/>
        </w:rPr>
        <w:t>2</w:t>
      </w:r>
      <w:r w:rsidRPr="002C4624">
        <w:rPr>
          <w:rFonts w:hint="eastAsia"/>
          <w:szCs w:val="21"/>
        </w:rPr>
        <w:t>条，其中</w:t>
      </w:r>
      <w:r w:rsidRPr="002C4624">
        <w:rPr>
          <w:rFonts w:hint="eastAsia"/>
          <w:szCs w:val="21"/>
        </w:rPr>
        <w:t>1</w:t>
      </w:r>
      <w:r w:rsidRPr="002C4624">
        <w:rPr>
          <w:rFonts w:hint="eastAsia"/>
          <w:szCs w:val="21"/>
        </w:rPr>
        <w:t>条作为检验样品，</w:t>
      </w:r>
      <w:r w:rsidRPr="002C4624">
        <w:rPr>
          <w:rFonts w:hint="eastAsia"/>
          <w:szCs w:val="21"/>
        </w:rPr>
        <w:t>1</w:t>
      </w:r>
      <w:r w:rsidRPr="002C4624">
        <w:rPr>
          <w:rFonts w:hint="eastAsia"/>
          <w:szCs w:val="21"/>
        </w:rPr>
        <w:t>条作为备用样品。</w:t>
      </w:r>
    </w:p>
    <w:p w:rsidR="00B6190C" w:rsidRPr="002C4624" w:rsidRDefault="0040224F">
      <w:pPr>
        <w:snapToGrid w:val="0"/>
        <w:spacing w:line="440" w:lineRule="exact"/>
        <w:ind w:firstLineChars="200" w:firstLine="420"/>
        <w:rPr>
          <w:szCs w:val="21"/>
        </w:rPr>
      </w:pPr>
      <w:r w:rsidRPr="002C4624">
        <w:rPr>
          <w:rFonts w:hint="eastAsia"/>
          <w:szCs w:val="21"/>
        </w:rPr>
        <w:t>抽样时每种规格型号的样品须另提供</w:t>
      </w:r>
      <w:r w:rsidRPr="002C4624">
        <w:rPr>
          <w:rFonts w:hint="eastAsia"/>
          <w:szCs w:val="21"/>
        </w:rPr>
        <w:t>15m</w:t>
      </w:r>
      <w:r w:rsidRPr="002C4624">
        <w:rPr>
          <w:rFonts w:hint="eastAsia"/>
          <w:szCs w:val="21"/>
        </w:rPr>
        <w:t>×</w:t>
      </w:r>
      <w:r w:rsidRPr="002C4624">
        <w:rPr>
          <w:rFonts w:hint="eastAsia"/>
          <w:szCs w:val="21"/>
        </w:rPr>
        <w:t>2</w:t>
      </w:r>
      <w:r w:rsidRPr="002C4624">
        <w:rPr>
          <w:rFonts w:hint="eastAsia"/>
          <w:szCs w:val="21"/>
        </w:rPr>
        <w:t>的发热线，其中</w:t>
      </w:r>
      <w:r w:rsidRPr="002C4624">
        <w:rPr>
          <w:rFonts w:hint="eastAsia"/>
          <w:szCs w:val="21"/>
        </w:rPr>
        <w:t>15m</w:t>
      </w:r>
      <w:r w:rsidRPr="002C4624">
        <w:rPr>
          <w:rFonts w:hint="eastAsia"/>
          <w:szCs w:val="21"/>
        </w:rPr>
        <w:t>作为检验样品，</w:t>
      </w:r>
      <w:r w:rsidRPr="002C4624">
        <w:rPr>
          <w:rFonts w:hint="eastAsia"/>
          <w:szCs w:val="21"/>
        </w:rPr>
        <w:t>15m</w:t>
      </w:r>
      <w:r w:rsidRPr="002C4624">
        <w:rPr>
          <w:rFonts w:hint="eastAsia"/>
          <w:szCs w:val="21"/>
        </w:rPr>
        <w:t>作为备用样品。</w:t>
      </w:r>
      <w:bookmarkStart w:id="0" w:name="_GoBack"/>
      <w:bookmarkEnd w:id="0"/>
    </w:p>
    <w:p w:rsidR="00B6190C" w:rsidRDefault="00B6190C">
      <w:pPr>
        <w:snapToGrid w:val="0"/>
        <w:spacing w:line="440" w:lineRule="exact"/>
        <w:ind w:firstLineChars="200" w:firstLine="420"/>
        <w:rPr>
          <w:szCs w:val="21"/>
          <w:highlight w:val="yellow"/>
        </w:rPr>
      </w:pPr>
    </w:p>
    <w:p w:rsidR="00B6190C" w:rsidRDefault="0040224F">
      <w:pPr>
        <w:snapToGrid w:val="0"/>
        <w:spacing w:line="440" w:lineRule="exact"/>
        <w:rPr>
          <w:rFonts w:eastAsia="黑体"/>
          <w:szCs w:val="21"/>
        </w:rPr>
      </w:pPr>
      <w:r>
        <w:rPr>
          <w:rFonts w:eastAsia="黑体" w:hint="eastAsia"/>
          <w:szCs w:val="21"/>
        </w:rPr>
        <w:t>2</w:t>
      </w:r>
      <w:r>
        <w:rPr>
          <w:rFonts w:eastAsia="黑体" w:hint="eastAsia"/>
          <w:szCs w:val="21"/>
        </w:rPr>
        <w:t>检验依据</w:t>
      </w:r>
    </w:p>
    <w:tbl>
      <w:tblPr>
        <w:tblStyle w:val="a8"/>
        <w:tblW w:w="0" w:type="auto"/>
        <w:tblLook w:val="04A0"/>
      </w:tblPr>
      <w:tblGrid>
        <w:gridCol w:w="796"/>
        <w:gridCol w:w="5438"/>
        <w:gridCol w:w="2600"/>
      </w:tblGrid>
      <w:tr w:rsidR="00B6190C">
        <w:trPr>
          <w:tblHeader/>
        </w:trPr>
        <w:tc>
          <w:tcPr>
            <w:tcW w:w="796" w:type="dxa"/>
            <w:vAlign w:val="center"/>
          </w:tcPr>
          <w:p w:rsidR="00B6190C" w:rsidRDefault="0040224F">
            <w:pPr>
              <w:spacing w:line="440" w:lineRule="exact"/>
              <w:jc w:val="center"/>
              <w:textAlignment w:val="center"/>
              <w:rPr>
                <w:szCs w:val="21"/>
              </w:rPr>
            </w:pPr>
            <w:r>
              <w:t>序号</w:t>
            </w:r>
          </w:p>
        </w:tc>
        <w:tc>
          <w:tcPr>
            <w:tcW w:w="5438" w:type="dxa"/>
            <w:vAlign w:val="center"/>
          </w:tcPr>
          <w:p w:rsidR="00B6190C" w:rsidRDefault="0040224F">
            <w:pPr>
              <w:spacing w:line="440" w:lineRule="exact"/>
              <w:jc w:val="center"/>
              <w:textAlignment w:val="center"/>
              <w:rPr>
                <w:szCs w:val="21"/>
              </w:rPr>
            </w:pPr>
            <w:r>
              <w:t>检验项目</w:t>
            </w:r>
          </w:p>
        </w:tc>
        <w:tc>
          <w:tcPr>
            <w:tcW w:w="2600" w:type="dxa"/>
            <w:vAlign w:val="center"/>
          </w:tcPr>
          <w:p w:rsidR="00B6190C" w:rsidRDefault="0040224F">
            <w:pPr>
              <w:spacing w:line="440" w:lineRule="exact"/>
              <w:jc w:val="center"/>
              <w:textAlignment w:val="center"/>
              <w:rPr>
                <w:szCs w:val="21"/>
              </w:rPr>
            </w:pPr>
            <w:r>
              <w:rPr>
                <w:szCs w:val="21"/>
              </w:rPr>
              <w:t>检验方法</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1</w:t>
            </w:r>
          </w:p>
        </w:tc>
        <w:tc>
          <w:tcPr>
            <w:tcW w:w="5438" w:type="dxa"/>
            <w:vAlign w:val="center"/>
          </w:tcPr>
          <w:p w:rsidR="00F349D7" w:rsidRPr="00D51E76" w:rsidRDefault="00F349D7" w:rsidP="00195A73">
            <w:pPr>
              <w:jc w:val="center"/>
              <w:textAlignment w:val="center"/>
              <w:rPr>
                <w:szCs w:val="21"/>
              </w:rPr>
            </w:pPr>
            <w:r w:rsidRPr="00D51E76">
              <w:rPr>
                <w:szCs w:val="21"/>
              </w:rPr>
              <w:t>标志和说明</w:t>
            </w:r>
          </w:p>
        </w:tc>
        <w:tc>
          <w:tcPr>
            <w:tcW w:w="2600" w:type="dxa"/>
            <w:vAlign w:val="center"/>
          </w:tcPr>
          <w:p w:rsidR="00F349D7" w:rsidRDefault="00F349D7" w:rsidP="00195A73">
            <w:pPr>
              <w:jc w:val="center"/>
              <w:textAlignment w:val="center"/>
              <w:rPr>
                <w:szCs w:val="21"/>
              </w:rPr>
            </w:pPr>
            <w:r>
              <w:rPr>
                <w:rFonts w:hint="eastAsia"/>
                <w:szCs w:val="21"/>
              </w:rPr>
              <w:t>GB4706.1-2005</w:t>
            </w:r>
          </w:p>
          <w:p w:rsidR="00F349D7" w:rsidRDefault="00F349D7" w:rsidP="00195A73">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2</w:t>
            </w:r>
          </w:p>
        </w:tc>
        <w:tc>
          <w:tcPr>
            <w:tcW w:w="5438" w:type="dxa"/>
            <w:vAlign w:val="center"/>
          </w:tcPr>
          <w:p w:rsidR="00F349D7" w:rsidRDefault="00F349D7">
            <w:pPr>
              <w:adjustRightInd w:val="0"/>
              <w:ind w:leftChars="-51" w:left="-107" w:rightChars="-51" w:right="-107"/>
              <w:jc w:val="center"/>
              <w:rPr>
                <w:szCs w:val="21"/>
              </w:rPr>
            </w:pPr>
            <w:r>
              <w:rPr>
                <w:rFonts w:hint="eastAsia"/>
                <w:szCs w:val="21"/>
              </w:rPr>
              <w:t>对触及带电部件的防护</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3</w:t>
            </w:r>
          </w:p>
        </w:tc>
        <w:tc>
          <w:tcPr>
            <w:tcW w:w="5438" w:type="dxa"/>
            <w:vAlign w:val="center"/>
          </w:tcPr>
          <w:p w:rsidR="00F349D7" w:rsidRDefault="00F349D7">
            <w:pPr>
              <w:adjustRightInd w:val="0"/>
              <w:spacing w:line="360" w:lineRule="exact"/>
              <w:ind w:leftChars="-51" w:left="-107" w:rightChars="-51" w:right="-107"/>
              <w:jc w:val="center"/>
              <w:rPr>
                <w:szCs w:val="21"/>
              </w:rPr>
            </w:pPr>
            <w:r>
              <w:rPr>
                <w:rFonts w:hint="eastAsia"/>
                <w:szCs w:val="21"/>
              </w:rPr>
              <w:t>输入功率和电流</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4</w:t>
            </w:r>
          </w:p>
        </w:tc>
        <w:tc>
          <w:tcPr>
            <w:tcW w:w="5438" w:type="dxa"/>
            <w:vAlign w:val="center"/>
          </w:tcPr>
          <w:p w:rsidR="00F349D7" w:rsidRDefault="00F349D7">
            <w:pPr>
              <w:jc w:val="center"/>
              <w:textAlignment w:val="center"/>
              <w:rPr>
                <w:szCs w:val="21"/>
              </w:rPr>
            </w:pPr>
            <w:r>
              <w:rPr>
                <w:rFonts w:hint="eastAsia"/>
                <w:szCs w:val="21"/>
              </w:rPr>
              <w:t>耐潮湿</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5</w:t>
            </w:r>
          </w:p>
        </w:tc>
        <w:tc>
          <w:tcPr>
            <w:tcW w:w="5438" w:type="dxa"/>
            <w:vAlign w:val="center"/>
          </w:tcPr>
          <w:p w:rsidR="00F349D7" w:rsidRDefault="00F349D7">
            <w:pPr>
              <w:jc w:val="center"/>
              <w:textAlignment w:val="center"/>
              <w:rPr>
                <w:szCs w:val="21"/>
              </w:rPr>
            </w:pPr>
            <w:r>
              <w:rPr>
                <w:rFonts w:hint="eastAsia"/>
                <w:szCs w:val="21"/>
              </w:rPr>
              <w:t>泄漏电流和电气强度</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6</w:t>
            </w:r>
          </w:p>
        </w:tc>
        <w:tc>
          <w:tcPr>
            <w:tcW w:w="5438" w:type="dxa"/>
            <w:vAlign w:val="center"/>
          </w:tcPr>
          <w:p w:rsidR="00F349D7" w:rsidRDefault="00F349D7">
            <w:pPr>
              <w:jc w:val="center"/>
              <w:textAlignment w:val="center"/>
              <w:rPr>
                <w:szCs w:val="21"/>
              </w:rPr>
            </w:pPr>
            <w:r>
              <w:rPr>
                <w:rFonts w:hint="eastAsia"/>
                <w:szCs w:val="21"/>
              </w:rPr>
              <w:t>非正常工作（只进行</w:t>
            </w:r>
            <w:r>
              <w:rPr>
                <w:rFonts w:hint="eastAsia"/>
                <w:szCs w:val="21"/>
              </w:rPr>
              <w:t>5</w:t>
            </w:r>
            <w:r>
              <w:rPr>
                <w:rFonts w:hint="eastAsia"/>
                <w:szCs w:val="21"/>
              </w:rPr>
              <w:t>层折叠试验）</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7</w:t>
            </w:r>
          </w:p>
        </w:tc>
        <w:tc>
          <w:tcPr>
            <w:tcW w:w="5438" w:type="dxa"/>
            <w:vAlign w:val="center"/>
          </w:tcPr>
          <w:p w:rsidR="00F349D7" w:rsidRDefault="00F349D7">
            <w:pPr>
              <w:jc w:val="center"/>
              <w:textAlignment w:val="center"/>
              <w:rPr>
                <w:szCs w:val="21"/>
              </w:rPr>
            </w:pPr>
            <w:r>
              <w:rPr>
                <w:rFonts w:hint="eastAsia"/>
                <w:szCs w:val="21"/>
              </w:rPr>
              <w:t>机械强度（只进行发热元件弯曲试验）</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8</w:t>
            </w:r>
          </w:p>
        </w:tc>
        <w:tc>
          <w:tcPr>
            <w:tcW w:w="5438" w:type="dxa"/>
            <w:vAlign w:val="center"/>
          </w:tcPr>
          <w:p w:rsidR="00F349D7" w:rsidRDefault="00F349D7">
            <w:pPr>
              <w:jc w:val="center"/>
              <w:textAlignment w:val="center"/>
              <w:rPr>
                <w:szCs w:val="21"/>
              </w:rPr>
            </w:pPr>
            <w:r>
              <w:rPr>
                <w:rFonts w:hint="eastAsia"/>
                <w:szCs w:val="21"/>
              </w:rPr>
              <w:t>结构</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rsidP="00195A73">
            <w:pPr>
              <w:spacing w:line="440" w:lineRule="exact"/>
              <w:jc w:val="center"/>
              <w:textAlignment w:val="center"/>
            </w:pPr>
            <w:r>
              <w:rPr>
                <w:rFonts w:hint="eastAsia"/>
              </w:rPr>
              <w:t>9</w:t>
            </w:r>
          </w:p>
        </w:tc>
        <w:tc>
          <w:tcPr>
            <w:tcW w:w="5438" w:type="dxa"/>
            <w:vAlign w:val="center"/>
          </w:tcPr>
          <w:p w:rsidR="00F349D7" w:rsidRDefault="00F349D7">
            <w:pPr>
              <w:jc w:val="center"/>
              <w:textAlignment w:val="center"/>
              <w:rPr>
                <w:szCs w:val="21"/>
              </w:rPr>
            </w:pPr>
            <w:r>
              <w:rPr>
                <w:rFonts w:hint="eastAsia"/>
                <w:szCs w:val="21"/>
              </w:rPr>
              <w:t>电源连接和外部软线</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r w:rsidR="00F349D7">
        <w:trPr>
          <w:tblHeader/>
        </w:trPr>
        <w:tc>
          <w:tcPr>
            <w:tcW w:w="796" w:type="dxa"/>
            <w:vAlign w:val="center"/>
          </w:tcPr>
          <w:p w:rsidR="00F349D7" w:rsidRDefault="00F349D7">
            <w:pPr>
              <w:spacing w:line="440" w:lineRule="exact"/>
              <w:jc w:val="center"/>
              <w:textAlignment w:val="center"/>
            </w:pPr>
            <w:r>
              <w:rPr>
                <w:rFonts w:hint="eastAsia"/>
              </w:rPr>
              <w:t>10</w:t>
            </w:r>
          </w:p>
        </w:tc>
        <w:tc>
          <w:tcPr>
            <w:tcW w:w="5438" w:type="dxa"/>
            <w:vAlign w:val="center"/>
          </w:tcPr>
          <w:p w:rsidR="00F349D7" w:rsidRDefault="00F349D7">
            <w:pPr>
              <w:jc w:val="center"/>
              <w:textAlignment w:val="center"/>
              <w:rPr>
                <w:szCs w:val="21"/>
              </w:rPr>
            </w:pPr>
            <w:r>
              <w:rPr>
                <w:rFonts w:hint="eastAsia"/>
                <w:szCs w:val="21"/>
              </w:rPr>
              <w:t>电气间隙、爬电距离和固体绝缘</w:t>
            </w:r>
          </w:p>
        </w:tc>
        <w:tc>
          <w:tcPr>
            <w:tcW w:w="2600" w:type="dxa"/>
            <w:vAlign w:val="center"/>
          </w:tcPr>
          <w:p w:rsidR="00F349D7" w:rsidRDefault="00F349D7">
            <w:pPr>
              <w:jc w:val="center"/>
              <w:textAlignment w:val="center"/>
              <w:rPr>
                <w:szCs w:val="21"/>
              </w:rPr>
            </w:pPr>
            <w:r>
              <w:rPr>
                <w:rFonts w:hint="eastAsia"/>
                <w:szCs w:val="21"/>
              </w:rPr>
              <w:t>GB4706.1-2005</w:t>
            </w:r>
          </w:p>
          <w:p w:rsidR="00F349D7" w:rsidRDefault="00F349D7">
            <w:pPr>
              <w:jc w:val="center"/>
              <w:textAlignment w:val="center"/>
              <w:rPr>
                <w:szCs w:val="21"/>
              </w:rPr>
            </w:pPr>
            <w:r>
              <w:rPr>
                <w:rFonts w:hint="eastAsia"/>
                <w:szCs w:val="21"/>
              </w:rPr>
              <w:t>GB4706.8-2008</w:t>
            </w:r>
          </w:p>
        </w:tc>
      </w:tr>
    </w:tbl>
    <w:p w:rsidR="00B6190C" w:rsidRDefault="0040224F">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B6190C" w:rsidRDefault="0040224F">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B6190C" w:rsidRDefault="00B6190C">
      <w:pPr>
        <w:spacing w:line="440" w:lineRule="exact"/>
        <w:rPr>
          <w:rFonts w:eastAsia="黑体"/>
          <w:szCs w:val="21"/>
        </w:rPr>
      </w:pPr>
    </w:p>
    <w:p w:rsidR="00B6190C" w:rsidRDefault="0040224F">
      <w:pPr>
        <w:spacing w:line="440" w:lineRule="exact"/>
        <w:rPr>
          <w:rFonts w:eastAsia="黑体"/>
          <w:szCs w:val="21"/>
        </w:rPr>
      </w:pPr>
      <w:r>
        <w:rPr>
          <w:rFonts w:eastAsia="黑体"/>
          <w:szCs w:val="21"/>
        </w:rPr>
        <w:t xml:space="preserve">3 </w:t>
      </w:r>
      <w:r>
        <w:rPr>
          <w:rFonts w:eastAsia="黑体"/>
          <w:szCs w:val="21"/>
        </w:rPr>
        <w:t>判定规则</w:t>
      </w:r>
    </w:p>
    <w:p w:rsidR="00B6190C" w:rsidRDefault="0040224F">
      <w:pPr>
        <w:snapToGrid w:val="0"/>
        <w:spacing w:line="440" w:lineRule="exact"/>
        <w:rPr>
          <w:szCs w:val="21"/>
        </w:rPr>
      </w:pPr>
      <w:r>
        <w:rPr>
          <w:szCs w:val="21"/>
        </w:rPr>
        <w:lastRenderedPageBreak/>
        <w:t>3.1</w:t>
      </w:r>
      <w:r>
        <w:rPr>
          <w:szCs w:val="21"/>
        </w:rPr>
        <w:t>依据标准</w:t>
      </w:r>
    </w:p>
    <w:p w:rsidR="00B6190C" w:rsidRDefault="0040224F">
      <w:pPr>
        <w:snapToGrid w:val="0"/>
        <w:spacing w:line="440" w:lineRule="exact"/>
        <w:ind w:firstLineChars="200" w:firstLine="420"/>
        <w:rPr>
          <w:szCs w:val="21"/>
        </w:rPr>
      </w:pPr>
      <w:r>
        <w:rPr>
          <w:rFonts w:hint="eastAsia"/>
          <w:szCs w:val="21"/>
        </w:rPr>
        <w:t xml:space="preserve">GB 4706.1-2005 </w:t>
      </w:r>
      <w:r>
        <w:rPr>
          <w:rFonts w:hint="eastAsia"/>
          <w:szCs w:val="21"/>
        </w:rPr>
        <w:t>《家用和类似用途电器的安全　第</w:t>
      </w:r>
      <w:r>
        <w:rPr>
          <w:rFonts w:hint="eastAsia"/>
          <w:szCs w:val="21"/>
        </w:rPr>
        <w:t>1</w:t>
      </w:r>
      <w:r>
        <w:rPr>
          <w:rFonts w:hint="eastAsia"/>
          <w:szCs w:val="21"/>
        </w:rPr>
        <w:t>部分：通用要求》</w:t>
      </w:r>
    </w:p>
    <w:p w:rsidR="00B6190C" w:rsidRDefault="0040224F">
      <w:pPr>
        <w:snapToGrid w:val="0"/>
        <w:spacing w:line="440" w:lineRule="exact"/>
        <w:ind w:firstLineChars="200" w:firstLine="420"/>
        <w:rPr>
          <w:szCs w:val="21"/>
        </w:rPr>
      </w:pPr>
      <w:r>
        <w:rPr>
          <w:rFonts w:hint="eastAsia"/>
          <w:szCs w:val="21"/>
        </w:rPr>
        <w:t xml:space="preserve">GB 4706.8-2008 </w:t>
      </w:r>
      <w:r>
        <w:rPr>
          <w:rFonts w:hint="eastAsia"/>
          <w:szCs w:val="21"/>
        </w:rPr>
        <w:t>《家用和类似用途电器的安全　电热毯、电热垫及类似柔性发热器具的特殊要求》</w:t>
      </w:r>
    </w:p>
    <w:p w:rsidR="00B6190C" w:rsidRDefault="0040224F">
      <w:pPr>
        <w:snapToGrid w:val="0"/>
        <w:spacing w:line="440" w:lineRule="exact"/>
        <w:ind w:firstLineChars="200" w:firstLine="420"/>
        <w:rPr>
          <w:szCs w:val="21"/>
        </w:rPr>
      </w:pPr>
      <w:r>
        <w:rPr>
          <w:szCs w:val="21"/>
        </w:rPr>
        <w:t>现行有效的企业标准、团体标准、地方标准及产品明示质量要求</w:t>
      </w:r>
    </w:p>
    <w:p w:rsidR="00B6190C" w:rsidRDefault="0040224F">
      <w:pPr>
        <w:snapToGrid w:val="0"/>
        <w:spacing w:line="440" w:lineRule="exact"/>
        <w:rPr>
          <w:szCs w:val="21"/>
        </w:rPr>
      </w:pPr>
      <w:r>
        <w:rPr>
          <w:szCs w:val="21"/>
        </w:rPr>
        <w:t>3.2</w:t>
      </w:r>
      <w:r>
        <w:rPr>
          <w:szCs w:val="21"/>
        </w:rPr>
        <w:t>判定原则</w:t>
      </w:r>
    </w:p>
    <w:p w:rsidR="00B6190C" w:rsidRDefault="0040224F">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B6190C" w:rsidRDefault="0040224F">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B6190C" w:rsidRDefault="0040224F">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B6190C" w:rsidRDefault="0040224F">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B6190C" w:rsidRDefault="0040224F">
      <w:pPr>
        <w:snapToGrid w:val="0"/>
        <w:spacing w:line="440" w:lineRule="exact"/>
        <w:ind w:firstLineChars="200" w:firstLine="420"/>
        <w:rPr>
          <w:szCs w:val="21"/>
        </w:rPr>
      </w:pPr>
      <w:r>
        <w:rPr>
          <w:szCs w:val="21"/>
        </w:rPr>
        <w:t>若被检产品明示的质量要求缺少本细则中检验项目依据的强制性标准要求时，应按照强制性标准要求判定。</w:t>
      </w:r>
    </w:p>
    <w:p w:rsidR="00B6190C" w:rsidRDefault="0040224F" w:rsidP="000B78AA">
      <w:pPr>
        <w:snapToGrid w:val="0"/>
        <w:spacing w:line="440" w:lineRule="exact"/>
        <w:ind w:firstLineChars="200" w:firstLine="420"/>
      </w:pPr>
      <w:r>
        <w:rPr>
          <w:szCs w:val="21"/>
        </w:rPr>
        <w:t>若被检产品明示的质量要求缺少本细则中检验项目依据的推荐性标准要求时，该项目不参与判定</w:t>
      </w:r>
      <w:r w:rsidR="00280456">
        <w:rPr>
          <w:rFonts w:hint="eastAsia"/>
          <w:szCs w:val="21"/>
        </w:rPr>
        <w:t>，但应在检验报告备注中进行说明。</w:t>
      </w:r>
    </w:p>
    <w:sectPr w:rsidR="00B6190C" w:rsidSect="000B78AA">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88A" w:rsidRDefault="005C488A" w:rsidP="00B6190C">
      <w:r>
        <w:separator/>
      </w:r>
    </w:p>
  </w:endnote>
  <w:endnote w:type="continuationSeparator" w:id="0">
    <w:p w:rsidR="005C488A" w:rsidRDefault="005C488A" w:rsidP="00B619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0C" w:rsidRDefault="00E665C4">
    <w:pPr>
      <w:pStyle w:val="a5"/>
      <w:framePr w:wrap="around" w:vAnchor="text" w:hAnchor="margin" w:xAlign="center" w:y="1"/>
      <w:rPr>
        <w:rStyle w:val="a9"/>
      </w:rPr>
    </w:pPr>
    <w:r>
      <w:fldChar w:fldCharType="begin"/>
    </w:r>
    <w:r w:rsidR="0040224F">
      <w:rPr>
        <w:rStyle w:val="a9"/>
      </w:rPr>
      <w:instrText xml:space="preserve">PAGE  </w:instrText>
    </w:r>
    <w:r>
      <w:fldChar w:fldCharType="end"/>
    </w:r>
  </w:p>
  <w:p w:rsidR="00B6190C" w:rsidRDefault="00B6190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88A" w:rsidRDefault="005C488A" w:rsidP="00B6190C">
      <w:r>
        <w:separator/>
      </w:r>
    </w:p>
  </w:footnote>
  <w:footnote w:type="continuationSeparator" w:id="0">
    <w:p w:rsidR="005C488A" w:rsidRDefault="005C488A" w:rsidP="00B619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858BC"/>
    <w:rsid w:val="000B78AA"/>
    <w:rsid w:val="00152127"/>
    <w:rsid w:val="00160A40"/>
    <w:rsid w:val="001625EA"/>
    <w:rsid w:val="0016744D"/>
    <w:rsid w:val="00183DF2"/>
    <w:rsid w:val="00232EBB"/>
    <w:rsid w:val="00251BF1"/>
    <w:rsid w:val="00280456"/>
    <w:rsid w:val="002A00BD"/>
    <w:rsid w:val="002C4624"/>
    <w:rsid w:val="002E7539"/>
    <w:rsid w:val="003226D8"/>
    <w:rsid w:val="00365163"/>
    <w:rsid w:val="003740BF"/>
    <w:rsid w:val="00385221"/>
    <w:rsid w:val="003E2406"/>
    <w:rsid w:val="003F22E4"/>
    <w:rsid w:val="003F55F3"/>
    <w:rsid w:val="0040224F"/>
    <w:rsid w:val="00420A38"/>
    <w:rsid w:val="00435185"/>
    <w:rsid w:val="004443C7"/>
    <w:rsid w:val="00464003"/>
    <w:rsid w:val="00464765"/>
    <w:rsid w:val="004D4755"/>
    <w:rsid w:val="004E7DDD"/>
    <w:rsid w:val="0056090F"/>
    <w:rsid w:val="00564F31"/>
    <w:rsid w:val="005650CA"/>
    <w:rsid w:val="005C488A"/>
    <w:rsid w:val="005E78DD"/>
    <w:rsid w:val="006167E6"/>
    <w:rsid w:val="006A59B8"/>
    <w:rsid w:val="006D083D"/>
    <w:rsid w:val="00727D45"/>
    <w:rsid w:val="00732B06"/>
    <w:rsid w:val="00784947"/>
    <w:rsid w:val="00784ECC"/>
    <w:rsid w:val="00787C10"/>
    <w:rsid w:val="0079079B"/>
    <w:rsid w:val="007923F2"/>
    <w:rsid w:val="008A3BCA"/>
    <w:rsid w:val="008B7736"/>
    <w:rsid w:val="008E2605"/>
    <w:rsid w:val="0094651A"/>
    <w:rsid w:val="00980120"/>
    <w:rsid w:val="009E3134"/>
    <w:rsid w:val="00A63F91"/>
    <w:rsid w:val="00A86C22"/>
    <w:rsid w:val="00AC4C6B"/>
    <w:rsid w:val="00AC5B64"/>
    <w:rsid w:val="00AD3EBB"/>
    <w:rsid w:val="00AE7467"/>
    <w:rsid w:val="00B5765C"/>
    <w:rsid w:val="00B6190C"/>
    <w:rsid w:val="00BA2BCF"/>
    <w:rsid w:val="00BB473C"/>
    <w:rsid w:val="00BC34F6"/>
    <w:rsid w:val="00C124F2"/>
    <w:rsid w:val="00C765EA"/>
    <w:rsid w:val="00C959A2"/>
    <w:rsid w:val="00CB4CFA"/>
    <w:rsid w:val="00CC3433"/>
    <w:rsid w:val="00CD04AF"/>
    <w:rsid w:val="00CD0567"/>
    <w:rsid w:val="00CE7A3C"/>
    <w:rsid w:val="00D11AB1"/>
    <w:rsid w:val="00D860AC"/>
    <w:rsid w:val="00D9539E"/>
    <w:rsid w:val="00DA2AEF"/>
    <w:rsid w:val="00DB4433"/>
    <w:rsid w:val="00DE27E4"/>
    <w:rsid w:val="00E665C4"/>
    <w:rsid w:val="00E81CDA"/>
    <w:rsid w:val="00E901A0"/>
    <w:rsid w:val="00EC602B"/>
    <w:rsid w:val="00ED0F75"/>
    <w:rsid w:val="00F1617D"/>
    <w:rsid w:val="00F349D7"/>
    <w:rsid w:val="00F35FF2"/>
    <w:rsid w:val="00F806BC"/>
    <w:rsid w:val="00FA474F"/>
    <w:rsid w:val="00FC626B"/>
    <w:rsid w:val="0A7C6F3F"/>
    <w:rsid w:val="0C7524DA"/>
    <w:rsid w:val="14BC550F"/>
    <w:rsid w:val="150243CF"/>
    <w:rsid w:val="183D15CD"/>
    <w:rsid w:val="22C439A8"/>
    <w:rsid w:val="232259B1"/>
    <w:rsid w:val="25F63A90"/>
    <w:rsid w:val="2B7D19BA"/>
    <w:rsid w:val="2EBD4E5E"/>
    <w:rsid w:val="33935754"/>
    <w:rsid w:val="4166035D"/>
    <w:rsid w:val="42910561"/>
    <w:rsid w:val="438E1DC6"/>
    <w:rsid w:val="46EC695D"/>
    <w:rsid w:val="495F0FDE"/>
    <w:rsid w:val="4F4677F4"/>
    <w:rsid w:val="575368DE"/>
    <w:rsid w:val="5BA54263"/>
    <w:rsid w:val="62A00AC7"/>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90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B6190C"/>
    <w:pPr>
      <w:jc w:val="left"/>
    </w:pPr>
  </w:style>
  <w:style w:type="paragraph" w:styleId="a4">
    <w:name w:val="Balloon Text"/>
    <w:basedOn w:val="a"/>
    <w:link w:val="Char0"/>
    <w:uiPriority w:val="99"/>
    <w:semiHidden/>
    <w:unhideWhenUsed/>
    <w:qFormat/>
    <w:rsid w:val="00B6190C"/>
    <w:rPr>
      <w:sz w:val="18"/>
      <w:szCs w:val="18"/>
    </w:rPr>
  </w:style>
  <w:style w:type="paragraph" w:styleId="a5">
    <w:name w:val="footer"/>
    <w:basedOn w:val="a"/>
    <w:link w:val="Char1"/>
    <w:unhideWhenUsed/>
    <w:qFormat/>
    <w:rsid w:val="00B6190C"/>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B6190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B6190C"/>
    <w:rPr>
      <w:b/>
      <w:bCs/>
    </w:rPr>
  </w:style>
  <w:style w:type="table" w:styleId="a8">
    <w:name w:val="Table Grid"/>
    <w:basedOn w:val="a1"/>
    <w:qFormat/>
    <w:rsid w:val="00B6190C"/>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B6190C"/>
  </w:style>
  <w:style w:type="character" w:styleId="aa">
    <w:name w:val="annotation reference"/>
    <w:basedOn w:val="a0"/>
    <w:uiPriority w:val="99"/>
    <w:semiHidden/>
    <w:unhideWhenUsed/>
    <w:qFormat/>
    <w:rsid w:val="00B6190C"/>
    <w:rPr>
      <w:sz w:val="21"/>
      <w:szCs w:val="21"/>
    </w:rPr>
  </w:style>
  <w:style w:type="character" w:customStyle="1" w:styleId="Char2">
    <w:name w:val="页眉 Char"/>
    <w:basedOn w:val="a0"/>
    <w:link w:val="a6"/>
    <w:uiPriority w:val="99"/>
    <w:qFormat/>
    <w:rsid w:val="00B6190C"/>
    <w:rPr>
      <w:sz w:val="18"/>
      <w:szCs w:val="18"/>
    </w:rPr>
  </w:style>
  <w:style w:type="character" w:customStyle="1" w:styleId="Char1">
    <w:name w:val="页脚 Char"/>
    <w:basedOn w:val="a0"/>
    <w:link w:val="a5"/>
    <w:qFormat/>
    <w:rsid w:val="00B6190C"/>
    <w:rPr>
      <w:sz w:val="18"/>
      <w:szCs w:val="18"/>
    </w:rPr>
  </w:style>
  <w:style w:type="character" w:customStyle="1" w:styleId="Char0">
    <w:name w:val="批注框文本 Char"/>
    <w:basedOn w:val="a0"/>
    <w:link w:val="a4"/>
    <w:uiPriority w:val="99"/>
    <w:semiHidden/>
    <w:qFormat/>
    <w:rsid w:val="00B6190C"/>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B6190C"/>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qFormat/>
    <w:rsid w:val="00B6190C"/>
    <w:rPr>
      <w:rFonts w:ascii="Times New Roman" w:eastAsia="宋体" w:hAnsi="Times New Roman" w:cs="Times New Roman"/>
      <w:b/>
      <w:bCs/>
      <w:kern w:val="2"/>
      <w:sz w:val="21"/>
      <w:szCs w:val="24"/>
    </w:rPr>
  </w:style>
  <w:style w:type="paragraph" w:customStyle="1" w:styleId="1">
    <w:name w:val="修订1"/>
    <w:hidden/>
    <w:uiPriority w:val="99"/>
    <w:semiHidden/>
    <w:qFormat/>
    <w:rsid w:val="00B6190C"/>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171</Words>
  <Characters>978</Characters>
  <Application>Microsoft Office Word</Application>
  <DocSecurity>0</DocSecurity>
  <Lines>8</Lines>
  <Paragraphs>2</Paragraphs>
  <ScaleCrop>false</ScaleCrop>
  <Company>微软中国</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13</cp:revision>
  <cp:lastPrinted>2020-03-09T04:05:00Z</cp:lastPrinted>
  <dcterms:created xsi:type="dcterms:W3CDTF">2021-01-27T07:07:00Z</dcterms:created>
  <dcterms:modified xsi:type="dcterms:W3CDTF">2021-06-21T08:33:00Z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