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Calibri" w:hAnsi="Calibri" w:eastAsia="方正小标宋简体" w:cs="Times New Roman"/>
          <w:color w:val="auto"/>
          <w:sz w:val="32"/>
          <w:szCs w:val="32"/>
          <w:highlight w:val="none"/>
        </w:rPr>
      </w:pPr>
      <w:r>
        <w:rPr>
          <w:rFonts w:ascii="Calibri" w:hAnsi="Calibri" w:eastAsia="方正小标宋简体" w:cs="Times New Roman"/>
          <w:color w:val="auto"/>
          <w:sz w:val="32"/>
          <w:szCs w:val="32"/>
          <w:highlight w:val="none"/>
        </w:rPr>
        <w:t>202</w:t>
      </w:r>
      <w:r>
        <w:rPr>
          <w:rFonts w:hint="eastAsia" w:ascii="Calibri" w:hAnsi="Calibri" w:eastAsia="方正小标宋简体" w:cs="Times New Roman"/>
          <w:color w:val="auto"/>
          <w:sz w:val="32"/>
          <w:szCs w:val="32"/>
          <w:highlight w:val="none"/>
        </w:rPr>
        <w:t>2</w:t>
      </w:r>
      <w:r>
        <w:rPr>
          <w:rFonts w:ascii="Calibri" w:hAnsi="Calibri" w:eastAsia="方正小标宋简体" w:cs="Times New Roman"/>
          <w:color w:val="auto"/>
          <w:sz w:val="32"/>
          <w:szCs w:val="32"/>
          <w:highlight w:val="none"/>
        </w:rPr>
        <w:t>年沈阳市</w:t>
      </w:r>
      <w:r>
        <w:rPr>
          <w:rFonts w:hint="eastAsia" w:ascii="Calibri" w:hAnsi="Calibri" w:eastAsia="方正小标宋简体" w:cs="Times New Roman"/>
          <w:color w:val="auto"/>
          <w:sz w:val="32"/>
          <w:szCs w:val="32"/>
          <w:highlight w:val="none"/>
        </w:rPr>
        <w:t>流通领域家用和类似用途电气装置的开关</w:t>
      </w:r>
    </w:p>
    <w:p>
      <w:pPr>
        <w:jc w:val="center"/>
        <w:rPr>
          <w:rFonts w:hint="eastAsia" w:ascii="Calibri" w:hAnsi="Calibri" w:eastAsia="方正小标宋简体" w:cs="Times New Roman"/>
          <w:color w:val="auto"/>
          <w:sz w:val="32"/>
          <w:szCs w:val="32"/>
          <w:highlight w:val="none"/>
        </w:rPr>
      </w:pPr>
      <w:r>
        <w:rPr>
          <w:rFonts w:ascii="Calibri" w:hAnsi="Calibri" w:eastAsia="方正小标宋简体" w:cs="Times New Roman"/>
          <w:color w:val="auto"/>
          <w:sz w:val="32"/>
          <w:szCs w:val="32"/>
          <w:highlight w:val="none"/>
        </w:rPr>
        <w:t>产品质量监督抽查方案</w:t>
      </w:r>
    </w:p>
    <w:p>
      <w:pPr>
        <w:rPr>
          <w:rFonts w:cs="Times New Roman" w:asciiTheme="minorEastAsia" w:hAnsiTheme="minorEastAsia"/>
          <w:color w:val="auto"/>
          <w:sz w:val="28"/>
          <w:szCs w:val="28"/>
          <w:highlight w:val="none"/>
        </w:rPr>
      </w:pPr>
    </w:p>
    <w:p>
      <w:pPr>
        <w:snapToGrid w:val="0"/>
        <w:spacing w:line="440" w:lineRule="exact"/>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一、抽查范围</w:t>
      </w:r>
    </w:p>
    <w:p>
      <w:pPr>
        <w:adjustRightInd w:val="0"/>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本次抽查为流通领域抽样，抽查范围覆盖沈河区、铁西区等家用和类似用途电气装置的开关</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集中销售</w:t>
      </w:r>
      <w:r>
        <w:rPr>
          <w:rFonts w:ascii="Calibri" w:hAnsi="Calibri" w:eastAsia="宋体" w:cs="Times New Roman"/>
          <w:color w:val="auto"/>
          <w:szCs w:val="21"/>
          <w:highlight w:val="none"/>
        </w:rPr>
        <w:t>地区</w:t>
      </w:r>
      <w:r>
        <w:rPr>
          <w:rFonts w:hint="eastAsia" w:ascii="Calibri" w:hAnsi="Calibri" w:eastAsia="宋体" w:cs="Times New Roman"/>
          <w:color w:val="auto"/>
          <w:szCs w:val="21"/>
          <w:highlight w:val="none"/>
        </w:rPr>
        <w:t>。</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二、抽查对象</w:t>
      </w:r>
    </w:p>
    <w:p>
      <w:pPr>
        <w:adjustRightInd w:val="0"/>
        <w:spacing w:line="360" w:lineRule="auto"/>
        <w:ind w:firstLine="420" w:firstLineChars="200"/>
        <w:rPr>
          <w:rFonts w:hint="eastAsia"/>
          <w:color w:val="auto"/>
          <w:highlight w:val="none"/>
          <w:shd w:val="clear" w:color="auto" w:fill="FFFFFF"/>
        </w:rPr>
      </w:pPr>
      <w:r>
        <w:rPr>
          <w:rFonts w:hint="eastAsia" w:ascii="Calibri" w:hAnsi="Calibri" w:eastAsia="宋体" w:cs="Times New Roman"/>
          <w:color w:val="auto"/>
          <w:szCs w:val="21"/>
          <w:highlight w:val="none"/>
        </w:rPr>
        <w:t>抽查对象为沈阳市行政区域内从事家用和类似用途电气装置的开关产品销售</w:t>
      </w:r>
      <w:r>
        <w:rPr>
          <w:rFonts w:hint="eastAsia" w:ascii="Calibri" w:hAnsi="Calibri" w:eastAsia="宋体" w:cs="Times New Roman"/>
          <w:color w:val="auto"/>
          <w:szCs w:val="21"/>
          <w:highlight w:val="none"/>
          <w:lang w:eastAsia="zh-CN"/>
        </w:rPr>
        <w:t>的市场</w:t>
      </w:r>
      <w:r>
        <w:rPr>
          <w:rFonts w:hint="eastAsia" w:ascii="Calibri" w:hAnsi="Calibri" w:eastAsia="宋体" w:cs="Times New Roman"/>
          <w:color w:val="auto"/>
          <w:szCs w:val="21"/>
          <w:highlight w:val="none"/>
        </w:rPr>
        <w:t>主体，包括</w:t>
      </w:r>
      <w:r>
        <w:rPr>
          <w:rFonts w:hint="eastAsia"/>
          <w:color w:val="auto"/>
          <w:szCs w:val="21"/>
          <w:highlight w:val="none"/>
        </w:rPr>
        <w:t>商场、超市、电器卖场等。</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三、抽查产品种类</w:t>
      </w:r>
    </w:p>
    <w:p>
      <w:pPr>
        <w:adjustRightInd w:val="0"/>
        <w:spacing w:line="360" w:lineRule="auto"/>
        <w:ind w:firstLine="420" w:firstLineChars="200"/>
        <w:rPr>
          <w:rFonts w:hint="eastAsia"/>
          <w:color w:val="auto"/>
          <w:szCs w:val="21"/>
          <w:highlight w:val="none"/>
        </w:rPr>
      </w:pPr>
      <w:r>
        <w:rPr>
          <w:rFonts w:hint="eastAsia"/>
          <w:color w:val="auto"/>
          <w:szCs w:val="21"/>
          <w:highlight w:val="none"/>
        </w:rPr>
        <w:t>（一）</w:t>
      </w:r>
      <w:r>
        <w:rPr>
          <w:color w:val="auto"/>
          <w:szCs w:val="21"/>
          <w:highlight w:val="none"/>
        </w:rPr>
        <w:t>产品类型</w:t>
      </w:r>
    </w:p>
    <w:p>
      <w:pPr>
        <w:adjustRightInd w:val="0"/>
        <w:spacing w:line="360" w:lineRule="auto"/>
        <w:ind w:firstLine="420" w:firstLineChars="200"/>
        <w:rPr>
          <w:rFonts w:hint="eastAsia"/>
          <w:color w:val="auto"/>
          <w:szCs w:val="21"/>
          <w:highlight w:val="none"/>
        </w:rPr>
      </w:pPr>
      <w:r>
        <w:rPr>
          <w:rFonts w:hint="eastAsia"/>
          <w:color w:val="auto"/>
          <w:szCs w:val="21"/>
          <w:highlight w:val="none"/>
        </w:rPr>
        <w:t>家用和类似用途电气装置的开关分类：家用墙壁开关、电子开关、遥控开关、延时开关、隔离开关、外部或内部标识和照明用消防开关等。</w:t>
      </w:r>
    </w:p>
    <w:p>
      <w:pPr>
        <w:adjustRightInd w:val="0"/>
        <w:spacing w:line="360" w:lineRule="auto"/>
        <w:ind w:firstLine="420" w:firstLineChars="200"/>
        <w:rPr>
          <w:rFonts w:hint="eastAsia"/>
          <w:color w:val="auto"/>
          <w:szCs w:val="21"/>
          <w:highlight w:val="none"/>
        </w:rPr>
      </w:pPr>
      <w:r>
        <w:rPr>
          <w:rFonts w:hint="eastAsia"/>
          <w:color w:val="auto"/>
          <w:szCs w:val="21"/>
          <w:highlight w:val="none"/>
        </w:rPr>
        <w:t>（二）</w:t>
      </w:r>
      <w:r>
        <w:rPr>
          <w:color w:val="auto"/>
          <w:szCs w:val="21"/>
          <w:highlight w:val="none"/>
        </w:rPr>
        <w:t>抽查产品范围</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1.可抽查的具体产品种类</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lang w:eastAsia="zh-CN"/>
        </w:rPr>
        <w:t>根据市场上常见的</w:t>
      </w:r>
      <w:r>
        <w:rPr>
          <w:rFonts w:hint="eastAsia" w:ascii="Calibri" w:hAnsi="Calibri" w:eastAsia="宋体" w:cs="Times New Roman"/>
          <w:color w:val="auto"/>
          <w:szCs w:val="21"/>
          <w:highlight w:val="none"/>
        </w:rPr>
        <w:t>家用和类似用途电气装置的开关</w:t>
      </w:r>
      <w:r>
        <w:rPr>
          <w:rFonts w:hint="eastAsia" w:ascii="Calibri" w:hAnsi="Calibri" w:eastAsia="宋体" w:cs="Times New Roman"/>
          <w:color w:val="auto"/>
          <w:szCs w:val="21"/>
          <w:highlight w:val="none"/>
          <w:lang w:val="en-US" w:eastAsia="zh-CN"/>
        </w:rPr>
        <w:t>种类，</w:t>
      </w:r>
      <w:r>
        <w:rPr>
          <w:rFonts w:hint="eastAsia" w:ascii="Calibri" w:hAnsi="Calibri" w:eastAsia="宋体" w:cs="Times New Roman"/>
          <w:color w:val="auto"/>
          <w:szCs w:val="21"/>
          <w:highlight w:val="none"/>
        </w:rPr>
        <w:t>本次拟抽查产品范围</w:t>
      </w:r>
      <w:r>
        <w:rPr>
          <w:rFonts w:hint="eastAsia" w:ascii="Calibri" w:hAnsi="Calibri" w:eastAsia="宋体" w:cs="Times New Roman"/>
          <w:color w:val="auto"/>
          <w:szCs w:val="21"/>
          <w:highlight w:val="none"/>
          <w:lang w:eastAsia="zh-CN"/>
        </w:rPr>
        <w:t>包括</w:t>
      </w:r>
      <w:r>
        <w:rPr>
          <w:rFonts w:hint="eastAsia"/>
          <w:color w:val="auto"/>
          <w:szCs w:val="21"/>
          <w:highlight w:val="none"/>
        </w:rPr>
        <w:t>家用墙壁开关</w:t>
      </w:r>
      <w:r>
        <w:rPr>
          <w:rFonts w:hint="eastAsia" w:ascii="Calibri" w:hAnsi="Calibri" w:eastAsia="宋体" w:cs="Times New Roman"/>
          <w:color w:val="auto"/>
          <w:szCs w:val="21"/>
          <w:highlight w:val="none"/>
        </w:rPr>
        <w:t>。</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2.不应抽查的易混淆产品种类</w:t>
      </w:r>
    </w:p>
    <w:p>
      <w:pPr>
        <w:spacing w:line="360" w:lineRule="auto"/>
        <w:ind w:firstLine="420" w:firstLineChars="200"/>
        <w:rPr>
          <w:rFonts w:hint="eastAsia" w:ascii="Calibri" w:hAnsi="Calibri" w:eastAsia="宋体" w:cs="Times New Roman"/>
          <w:color w:val="auto"/>
          <w:szCs w:val="21"/>
          <w:highlight w:val="none"/>
        </w:rPr>
      </w:pPr>
      <w:r>
        <w:rPr>
          <w:rFonts w:ascii="Calibri" w:hAnsi="Calibri" w:eastAsia="宋体" w:cs="Times New Roman"/>
          <w:color w:val="auto"/>
          <w:szCs w:val="21"/>
          <w:highlight w:val="none"/>
        </w:rPr>
        <w:t>本次抽查不包括上述产品类型中除家用墙壁开关外的其他开关产品。</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四、抽样要求</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在被抽样</w:t>
      </w:r>
      <w:r>
        <w:rPr>
          <w:rFonts w:hint="eastAsia" w:ascii="Calibri" w:hAnsi="Calibri" w:eastAsia="宋体" w:cs="Times New Roman"/>
          <w:color w:val="auto"/>
          <w:szCs w:val="21"/>
          <w:highlight w:val="none"/>
          <w:lang w:eastAsia="zh-CN"/>
        </w:rPr>
        <w:t>销售者</w:t>
      </w:r>
      <w:r>
        <w:rPr>
          <w:rFonts w:hint="eastAsia" w:ascii="Calibri" w:hAnsi="Calibri" w:eastAsia="宋体" w:cs="Times New Roman"/>
          <w:color w:val="auto"/>
          <w:szCs w:val="21"/>
          <w:highlight w:val="none"/>
        </w:rPr>
        <w:t>的待销产品中随机抽取有产品质量检验合格证明或者以其他形式表明合格的、</w:t>
      </w:r>
      <w:r>
        <w:rPr>
          <w:rFonts w:ascii="Calibri" w:hAnsi="Calibri" w:eastAsia="宋体" w:cs="Times New Roman"/>
          <w:color w:val="auto"/>
          <w:szCs w:val="21"/>
          <w:highlight w:val="none"/>
        </w:rPr>
        <w:t>抽样实施日期前一年内生产的</w:t>
      </w:r>
      <w:r>
        <w:rPr>
          <w:rFonts w:hint="eastAsia" w:ascii="Calibri" w:hAnsi="Calibri" w:eastAsia="宋体" w:cs="Times New Roman"/>
          <w:color w:val="auto"/>
          <w:szCs w:val="21"/>
          <w:highlight w:val="none"/>
        </w:rPr>
        <w:t>同一型号、同一批次</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若产品标注有效期，则有效期应在监督抽查整体工作结束后</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w:t>
      </w:r>
      <w:r>
        <w:rPr>
          <w:rFonts w:hint="eastAsia" w:ascii="Calibri" w:hAnsi="Calibri" w:eastAsia="宋体" w:cs="Times New Roman"/>
          <w:color w:val="auto"/>
          <w:szCs w:val="21"/>
          <w:highlight w:val="none"/>
        </w:rPr>
        <w:t>如存在</w:t>
      </w:r>
      <w:r>
        <w:rPr>
          <w:rFonts w:ascii="Calibri" w:hAnsi="Calibri" w:eastAsia="宋体" w:cs="Times New Roman"/>
          <w:color w:val="auto"/>
          <w:szCs w:val="21"/>
          <w:highlight w:val="none"/>
        </w:rPr>
        <w:t>多个规格型号，优先抽取企业的主导产品</w:t>
      </w:r>
      <w:r>
        <w:rPr>
          <w:rFonts w:hint="eastAsia" w:ascii="Calibri" w:hAnsi="Calibri" w:eastAsia="宋体" w:cs="Times New Roman"/>
          <w:color w:val="auto"/>
          <w:szCs w:val="21"/>
          <w:highlight w:val="none"/>
        </w:rPr>
        <w:t>。</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抽样基数满足抽样数量即可。</w:t>
      </w:r>
    </w:p>
    <w:p>
      <w:pPr>
        <w:spacing w:line="360" w:lineRule="auto"/>
        <w:ind w:firstLine="420" w:firstLineChars="200"/>
        <w:rPr>
          <w:rFonts w:hint="eastAsia" w:ascii="Calibri" w:hAnsi="Calibri" w:eastAsia="宋体" w:cs="Times New Roman"/>
          <w:strike w:val="0"/>
          <w:dstrike w:val="0"/>
          <w:color w:val="auto"/>
          <w:szCs w:val="21"/>
          <w:highlight w:val="none"/>
        </w:rPr>
      </w:pPr>
      <w:r>
        <w:rPr>
          <w:rFonts w:hint="eastAsia"/>
          <w:color w:val="auto"/>
          <w:szCs w:val="21"/>
          <w:highlight w:val="none"/>
        </w:rPr>
        <w:t>备用样品由被抽样销售者先行无偿提供，封存于被抽样销售者处</w:t>
      </w:r>
      <w:r>
        <w:rPr>
          <w:rFonts w:hint="eastAsia"/>
          <w:color w:val="auto"/>
          <w:szCs w:val="21"/>
          <w:highlight w:val="none"/>
          <w:lang w:eastAsia="zh-CN"/>
        </w:rPr>
        <w:t>，</w:t>
      </w:r>
      <w:r>
        <w:rPr>
          <w:rFonts w:hint="eastAsia" w:ascii="Calibri" w:hAnsi="Calibri" w:eastAsia="宋体" w:cs="Times New Roman"/>
          <w:strike w:val="0"/>
          <w:dstrike w:val="0"/>
          <w:color w:val="auto"/>
          <w:szCs w:val="21"/>
          <w:highlight w:val="none"/>
        </w:rPr>
        <w:t>并加施封存标识，拍摄、保存相应影像记录，同时应填写《产品质量监督抽查样品封存和处置告知单》。</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五、样品处置</w:t>
      </w:r>
    </w:p>
    <w:p>
      <w:pPr>
        <w:adjustRightInd w:val="0"/>
        <w:spacing w:line="360" w:lineRule="auto"/>
        <w:ind w:firstLine="420" w:firstLineChars="2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检验样品及备用样品应由抽样人员和被抽样单位陪同人员用封样单分别封样。封样时，应保证所有可开启部位贴封完好（防止样品被调换），并由抽样人员和被抽样单位代表共同签字确认。</w:t>
      </w:r>
    </w:p>
    <w:p>
      <w:pPr>
        <w:adjustRightInd w:val="0"/>
        <w:spacing w:line="360" w:lineRule="auto"/>
        <w:ind w:firstLine="420" w:firstLineChars="2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检验</w:t>
      </w:r>
      <w:r>
        <w:rPr>
          <w:rFonts w:hint="eastAsia"/>
          <w:color w:val="000000" w:themeColor="text1"/>
          <w:szCs w:val="21"/>
          <w:highlight w:val="none"/>
          <w14:textFill>
            <w14:solidFill>
              <w14:schemeClr w14:val="tx1"/>
            </w14:solidFill>
          </w14:textFill>
        </w:rPr>
        <w:t>样品由抽样人员</w:t>
      </w:r>
      <w:r>
        <w:rPr>
          <w:color w:val="000000" w:themeColor="text1"/>
          <w:szCs w:val="21"/>
          <w:highlight w:val="none"/>
          <w14:textFill>
            <w14:solidFill>
              <w14:schemeClr w14:val="tx1"/>
            </w14:solidFill>
          </w14:textFill>
        </w:rPr>
        <w:t>携带或</w:t>
      </w:r>
      <w:bookmarkStart w:id="0" w:name="_GoBack"/>
      <w:bookmarkEnd w:id="0"/>
      <w:r>
        <w:rPr>
          <w:color w:val="000000" w:themeColor="text1"/>
          <w:szCs w:val="21"/>
          <w:highlight w:val="none"/>
          <w14:textFill>
            <w14:solidFill>
              <w14:schemeClr w14:val="tx1"/>
            </w14:solidFill>
          </w14:textFill>
        </w:rPr>
        <w:t>寄送至检验机构</w:t>
      </w:r>
      <w:r>
        <w:rPr>
          <w:rFonts w:hint="eastAsia"/>
          <w:color w:val="000000" w:themeColor="text1"/>
          <w:szCs w:val="21"/>
          <w:highlight w:val="none"/>
          <w14:textFill>
            <w14:solidFill>
              <w14:schemeClr w14:val="tx1"/>
            </w14:solidFill>
          </w14:textFill>
        </w:rPr>
        <w:t>，在</w:t>
      </w:r>
      <w:r>
        <w:rPr>
          <w:color w:val="000000" w:themeColor="text1"/>
          <w:szCs w:val="21"/>
          <w:highlight w:val="none"/>
          <w14:textFill>
            <w14:solidFill>
              <w14:schemeClr w14:val="tx1"/>
            </w14:solidFill>
          </w14:textFill>
        </w:rPr>
        <w:t>携带或寄送</w:t>
      </w:r>
      <w:r>
        <w:rPr>
          <w:rFonts w:hint="eastAsia"/>
          <w:color w:val="000000" w:themeColor="text1"/>
          <w:szCs w:val="21"/>
          <w:highlight w:val="none"/>
          <w14:textFill>
            <w14:solidFill>
              <w14:schemeClr w14:val="tx1"/>
            </w14:solidFill>
          </w14:textFill>
        </w:rPr>
        <w:t>过程中应保证样品与封样单的完好无损。</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六</w:t>
      </w:r>
      <w:r>
        <w:rPr>
          <w:rFonts w:ascii="Times New Roman" w:hAnsi="Times New Roman" w:eastAsia="黑体" w:cs="Times New Roman"/>
          <w:color w:val="auto"/>
          <w:szCs w:val="21"/>
          <w:highlight w:val="none"/>
        </w:rPr>
        <w:t>、</w:t>
      </w:r>
      <w:r>
        <w:rPr>
          <w:rFonts w:hint="eastAsia" w:ascii="Times New Roman" w:hAnsi="Times New Roman" w:eastAsia="黑体" w:cs="Times New Roman"/>
          <w:color w:val="auto"/>
          <w:szCs w:val="21"/>
          <w:highlight w:val="none"/>
        </w:rPr>
        <w:t>抽查工作分工及进度要求</w:t>
      </w:r>
    </w:p>
    <w:p>
      <w:pPr>
        <w:pStyle w:val="14"/>
        <w:spacing w:line="360" w:lineRule="auto"/>
        <w:rPr>
          <w:rFonts w:hint="eastAsia"/>
          <w:color w:val="auto"/>
          <w:szCs w:val="21"/>
          <w:highlight w:val="none"/>
        </w:rPr>
      </w:pPr>
      <w:r>
        <w:rPr>
          <w:rFonts w:hint="eastAsia"/>
          <w:color w:val="auto"/>
          <w:szCs w:val="21"/>
          <w:highlight w:val="none"/>
        </w:rPr>
        <w:t>本次抽查工作严格按照任务下达部门进度要求执行，现对抽查工作计划、进度预做如下安排，详见表</w:t>
      </w:r>
      <w:r>
        <w:rPr>
          <w:rFonts w:hint="eastAsia"/>
          <w:color w:val="auto"/>
          <w:szCs w:val="21"/>
          <w:highlight w:val="none"/>
          <w:lang w:val="en-US" w:eastAsia="zh-CN"/>
        </w:rPr>
        <w:t>1</w:t>
      </w:r>
      <w:r>
        <w:rPr>
          <w:rFonts w:hint="eastAsia"/>
          <w:color w:val="auto"/>
          <w:szCs w:val="21"/>
          <w:highlight w:val="none"/>
        </w:rPr>
        <w:t>。</w:t>
      </w:r>
    </w:p>
    <w:p>
      <w:pPr>
        <w:adjustRightInd w:val="0"/>
        <w:spacing w:line="360" w:lineRule="auto"/>
        <w:ind w:firstLine="420" w:firstLineChars="200"/>
        <w:jc w:val="center"/>
        <w:rPr>
          <w:rFonts w:hint="eastAsia"/>
          <w:color w:val="auto"/>
          <w:szCs w:val="21"/>
          <w:highlight w:val="none"/>
        </w:rPr>
      </w:pPr>
      <w:r>
        <w:rPr>
          <w:rFonts w:hint="eastAsia"/>
          <w:color w:val="auto"/>
          <w:szCs w:val="21"/>
          <w:highlight w:val="none"/>
        </w:rPr>
        <w:t>表</w:t>
      </w:r>
      <w:r>
        <w:rPr>
          <w:rFonts w:hint="eastAsia"/>
          <w:color w:val="auto"/>
          <w:szCs w:val="21"/>
          <w:highlight w:val="none"/>
          <w:lang w:val="en-US" w:eastAsia="zh-CN"/>
        </w:rPr>
        <w:t>1</w:t>
      </w:r>
      <w:r>
        <w:rPr>
          <w:rFonts w:hint="eastAsia"/>
          <w:color w:val="auto"/>
          <w:szCs w:val="21"/>
          <w:highlight w:val="none"/>
        </w:rPr>
        <w:t>抽查工作进度要求</w:t>
      </w:r>
    </w:p>
    <w:tbl>
      <w:tblPr>
        <w:tblStyle w:val="9"/>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工作流程</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责任单位</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样品抽取</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沈阳产品质量监督检验院负责，区、县（市）局配合</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22</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被抽样单位汇总表上报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24</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样品检验</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月20日-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19</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ascii="宋体" w:hAnsi="宋体" w:eastAsia="宋体"/>
                <w:bCs/>
                <w:color w:val="auto"/>
                <w:szCs w:val="21"/>
                <w:highlight w:val="none"/>
              </w:rPr>
              <w:t>检验报告及结果</w:t>
            </w:r>
            <w:r>
              <w:rPr>
                <w:rFonts w:hint="eastAsia" w:ascii="宋体" w:hAnsi="宋体" w:eastAsia="宋体"/>
                <w:bCs/>
                <w:color w:val="auto"/>
                <w:szCs w:val="21"/>
                <w:highlight w:val="none"/>
              </w:rPr>
              <w:t>通知书</w:t>
            </w:r>
            <w:r>
              <w:rPr>
                <w:rFonts w:ascii="宋体" w:hAnsi="宋体" w:eastAsia="宋体"/>
                <w:bCs/>
                <w:color w:val="auto"/>
                <w:szCs w:val="21"/>
                <w:highlight w:val="none"/>
              </w:rPr>
              <w:t>发放</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23</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检验结果上报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28</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材料汇总及上报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14</w:t>
            </w:r>
            <w:r>
              <w:rPr>
                <w:rFonts w:hint="eastAsia" w:ascii="宋体" w:hAnsi="宋体" w:eastAsia="宋体"/>
                <w:color w:val="auto"/>
                <w:szCs w:val="21"/>
                <w:highlight w:val="none"/>
              </w:rPr>
              <w:t>日前完成</w:t>
            </w:r>
          </w:p>
        </w:tc>
      </w:tr>
    </w:tbl>
    <w:p>
      <w:pPr>
        <w:jc w:val="center"/>
        <w:rPr>
          <w:rFonts w:asciiTheme="majorEastAsia" w:hAnsiTheme="majorEastAsia" w:eastAsiaTheme="majorEastAsia"/>
          <w:color w:val="auto"/>
          <w:szCs w:val="21"/>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鼎简书宋二">
    <w:altName w:val="Arial Unicode MS"/>
    <w:panose1 w:val="00000000000000000000"/>
    <w:charset w:val="86"/>
    <w:family w:val="roma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方正小标宋简体">
    <w:altName w:val="Arial Unicode MS"/>
    <w:panose1 w:val="02000000000000000000"/>
    <w:charset w:val="86"/>
    <w:family w:val="script"/>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5E4D52"/>
    <w:rsid w:val="00001462"/>
    <w:rsid w:val="00003FF2"/>
    <w:rsid w:val="000057EB"/>
    <w:rsid w:val="00016268"/>
    <w:rsid w:val="00024FFE"/>
    <w:rsid w:val="00076D2C"/>
    <w:rsid w:val="00081C46"/>
    <w:rsid w:val="0009249A"/>
    <w:rsid w:val="000A05AA"/>
    <w:rsid w:val="000A4A75"/>
    <w:rsid w:val="000A6B7A"/>
    <w:rsid w:val="000C6EB7"/>
    <w:rsid w:val="000F00BF"/>
    <w:rsid w:val="000F6CDF"/>
    <w:rsid w:val="000F715F"/>
    <w:rsid w:val="0010017E"/>
    <w:rsid w:val="00193036"/>
    <w:rsid w:val="001C03A2"/>
    <w:rsid w:val="0023317F"/>
    <w:rsid w:val="00247113"/>
    <w:rsid w:val="0026663C"/>
    <w:rsid w:val="00266CEE"/>
    <w:rsid w:val="0027203F"/>
    <w:rsid w:val="002A75B2"/>
    <w:rsid w:val="002F4FEE"/>
    <w:rsid w:val="002F695B"/>
    <w:rsid w:val="003235F4"/>
    <w:rsid w:val="00343A8A"/>
    <w:rsid w:val="00351D52"/>
    <w:rsid w:val="00352667"/>
    <w:rsid w:val="00362C9F"/>
    <w:rsid w:val="003824DB"/>
    <w:rsid w:val="003C5FB5"/>
    <w:rsid w:val="003D2260"/>
    <w:rsid w:val="003D4BBA"/>
    <w:rsid w:val="00401715"/>
    <w:rsid w:val="00406855"/>
    <w:rsid w:val="00406AF5"/>
    <w:rsid w:val="004136FA"/>
    <w:rsid w:val="00417FE4"/>
    <w:rsid w:val="004B3968"/>
    <w:rsid w:val="00525029"/>
    <w:rsid w:val="00576D3C"/>
    <w:rsid w:val="005B2AE8"/>
    <w:rsid w:val="005D1ABD"/>
    <w:rsid w:val="005E4D52"/>
    <w:rsid w:val="005F4427"/>
    <w:rsid w:val="00642ECC"/>
    <w:rsid w:val="00644DF7"/>
    <w:rsid w:val="00683FA6"/>
    <w:rsid w:val="00684361"/>
    <w:rsid w:val="006859AB"/>
    <w:rsid w:val="006C0C7C"/>
    <w:rsid w:val="006C2551"/>
    <w:rsid w:val="006F0924"/>
    <w:rsid w:val="006F146E"/>
    <w:rsid w:val="0075776F"/>
    <w:rsid w:val="00766111"/>
    <w:rsid w:val="007B1AEA"/>
    <w:rsid w:val="007E4AF5"/>
    <w:rsid w:val="00802355"/>
    <w:rsid w:val="008050DE"/>
    <w:rsid w:val="00814C07"/>
    <w:rsid w:val="00831FB4"/>
    <w:rsid w:val="00840F5B"/>
    <w:rsid w:val="00841150"/>
    <w:rsid w:val="0085784E"/>
    <w:rsid w:val="00880BCA"/>
    <w:rsid w:val="00894C98"/>
    <w:rsid w:val="008B12BF"/>
    <w:rsid w:val="008B3533"/>
    <w:rsid w:val="008B3D4C"/>
    <w:rsid w:val="008E1EDD"/>
    <w:rsid w:val="00902431"/>
    <w:rsid w:val="009156A0"/>
    <w:rsid w:val="00960815"/>
    <w:rsid w:val="0097523B"/>
    <w:rsid w:val="009868DF"/>
    <w:rsid w:val="009A4AC4"/>
    <w:rsid w:val="009B1754"/>
    <w:rsid w:val="009B3E75"/>
    <w:rsid w:val="009D2623"/>
    <w:rsid w:val="009F083C"/>
    <w:rsid w:val="00A03F8E"/>
    <w:rsid w:val="00A360E3"/>
    <w:rsid w:val="00A4534E"/>
    <w:rsid w:val="00A47C1E"/>
    <w:rsid w:val="00A54109"/>
    <w:rsid w:val="00A64EB4"/>
    <w:rsid w:val="00A95AE2"/>
    <w:rsid w:val="00AA462A"/>
    <w:rsid w:val="00AB4837"/>
    <w:rsid w:val="00B34265"/>
    <w:rsid w:val="00B4184F"/>
    <w:rsid w:val="00B67DB1"/>
    <w:rsid w:val="00B958DE"/>
    <w:rsid w:val="00BA561A"/>
    <w:rsid w:val="00BE57F7"/>
    <w:rsid w:val="00BE692E"/>
    <w:rsid w:val="00C17E77"/>
    <w:rsid w:val="00C477B9"/>
    <w:rsid w:val="00C95F71"/>
    <w:rsid w:val="00CC4E5D"/>
    <w:rsid w:val="00CF7D05"/>
    <w:rsid w:val="00D408B3"/>
    <w:rsid w:val="00D44BDB"/>
    <w:rsid w:val="00D813C6"/>
    <w:rsid w:val="00D8313C"/>
    <w:rsid w:val="00DC5120"/>
    <w:rsid w:val="00DE5809"/>
    <w:rsid w:val="00E0363C"/>
    <w:rsid w:val="00E25E2B"/>
    <w:rsid w:val="00E325D1"/>
    <w:rsid w:val="00E35A13"/>
    <w:rsid w:val="00E57E94"/>
    <w:rsid w:val="00E67A24"/>
    <w:rsid w:val="00E81AC8"/>
    <w:rsid w:val="00E97008"/>
    <w:rsid w:val="00EB6B2B"/>
    <w:rsid w:val="00ED300A"/>
    <w:rsid w:val="00EF5A21"/>
    <w:rsid w:val="00F12FE6"/>
    <w:rsid w:val="00F3582F"/>
    <w:rsid w:val="00F467B0"/>
    <w:rsid w:val="00F5023E"/>
    <w:rsid w:val="00F55267"/>
    <w:rsid w:val="00F81268"/>
    <w:rsid w:val="00FC1693"/>
    <w:rsid w:val="00FC3095"/>
    <w:rsid w:val="0B857E95"/>
    <w:rsid w:val="135B097D"/>
    <w:rsid w:val="136B589F"/>
    <w:rsid w:val="14567D50"/>
    <w:rsid w:val="1C6D6029"/>
    <w:rsid w:val="22DF561F"/>
    <w:rsid w:val="25874DC5"/>
    <w:rsid w:val="2D5B2673"/>
    <w:rsid w:val="3924065D"/>
    <w:rsid w:val="3BE71939"/>
    <w:rsid w:val="3CF6235D"/>
    <w:rsid w:val="3E915111"/>
    <w:rsid w:val="6214067D"/>
    <w:rsid w:val="623C6AEF"/>
    <w:rsid w:val="6A1C17C3"/>
    <w:rsid w:val="7A4C54D5"/>
    <w:rsid w:val="D7AEFDFF"/>
    <w:rsid w:val="FDFFA8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endnote text"/>
    <w:basedOn w:val="1"/>
    <w:link w:val="20"/>
    <w:semiHidden/>
    <w:unhideWhenUsed/>
    <w:qFormat/>
    <w:uiPriority w:val="99"/>
    <w:pPr>
      <w:snapToGrid w:val="0"/>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semiHidden/>
    <w:unhideWhenUsed/>
    <w:qFormat/>
    <w:uiPriority w:val="99"/>
    <w:pPr>
      <w:snapToGrid w:val="0"/>
      <w:jc w:val="left"/>
    </w:pPr>
    <w:rPr>
      <w:sz w:val="18"/>
      <w:szCs w:val="18"/>
    </w:rPr>
  </w:style>
  <w:style w:type="paragraph" w:styleId="8">
    <w:name w:val="annotation subject"/>
    <w:basedOn w:val="2"/>
    <w:next w:val="2"/>
    <w:link w:val="22"/>
    <w:semiHidden/>
    <w:unhideWhenUsed/>
    <w:qFormat/>
    <w:uiPriority w:val="99"/>
    <w:rPr>
      <w:b/>
      <w:bCs/>
    </w:rPr>
  </w:style>
  <w:style w:type="character" w:styleId="11">
    <w:name w:val="endnote reference"/>
    <w:basedOn w:val="10"/>
    <w:semiHidden/>
    <w:unhideWhenUsed/>
    <w:qFormat/>
    <w:uiPriority w:val="99"/>
    <w:rPr>
      <w:vertAlign w:val="superscript"/>
    </w:rPr>
  </w:style>
  <w:style w:type="character" w:styleId="12">
    <w:name w:val="annotation reference"/>
    <w:basedOn w:val="10"/>
    <w:semiHidden/>
    <w:unhideWhenUsed/>
    <w:qFormat/>
    <w:uiPriority w:val="99"/>
    <w:rPr>
      <w:sz w:val="21"/>
      <w:szCs w:val="21"/>
    </w:rPr>
  </w:style>
  <w:style w:type="character" w:styleId="13">
    <w:name w:val="footnote reference"/>
    <w:basedOn w:val="10"/>
    <w:semiHidden/>
    <w:unhideWhenUsed/>
    <w:qFormat/>
    <w:uiPriority w:val="99"/>
    <w:rPr>
      <w:vertAlign w:val="superscript"/>
    </w:rPr>
  </w:style>
  <w:style w:type="paragraph" w:styleId="14">
    <w:name w:val="List Paragraph"/>
    <w:basedOn w:val="1"/>
    <w:qFormat/>
    <w:uiPriority w:val="34"/>
    <w:pPr>
      <w:ind w:firstLine="420" w:firstLineChars="200"/>
    </w:pPr>
  </w:style>
  <w:style w:type="paragraph" w:customStyle="1" w:styleId="15">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6">
    <w:name w:val="页眉 Char"/>
    <w:basedOn w:val="10"/>
    <w:link w:val="6"/>
    <w:qFormat/>
    <w:uiPriority w:val="99"/>
    <w:rPr>
      <w:sz w:val="18"/>
      <w:szCs w:val="18"/>
    </w:rPr>
  </w:style>
  <w:style w:type="character" w:customStyle="1" w:styleId="17">
    <w:name w:val="页脚 Char"/>
    <w:basedOn w:val="10"/>
    <w:link w:val="5"/>
    <w:qFormat/>
    <w:uiPriority w:val="99"/>
    <w:rPr>
      <w:sz w:val="18"/>
      <w:szCs w:val="18"/>
    </w:rPr>
  </w:style>
  <w:style w:type="character" w:customStyle="1" w:styleId="18">
    <w:name w:val="批注框文本 Char"/>
    <w:basedOn w:val="10"/>
    <w:link w:val="4"/>
    <w:semiHidden/>
    <w:qFormat/>
    <w:uiPriority w:val="99"/>
    <w:rPr>
      <w:kern w:val="2"/>
      <w:sz w:val="18"/>
      <w:szCs w:val="18"/>
    </w:rPr>
  </w:style>
  <w:style w:type="character" w:customStyle="1" w:styleId="19">
    <w:name w:val="脚注文本 Char"/>
    <w:basedOn w:val="10"/>
    <w:link w:val="7"/>
    <w:semiHidden/>
    <w:qFormat/>
    <w:uiPriority w:val="99"/>
    <w:rPr>
      <w:rFonts w:asciiTheme="minorHAnsi" w:hAnsiTheme="minorHAnsi" w:eastAsiaTheme="minorEastAsia" w:cstheme="minorBidi"/>
      <w:kern w:val="2"/>
      <w:sz w:val="18"/>
      <w:szCs w:val="18"/>
    </w:rPr>
  </w:style>
  <w:style w:type="character" w:customStyle="1" w:styleId="20">
    <w:name w:val="尾注文本 Char"/>
    <w:basedOn w:val="10"/>
    <w:link w:val="3"/>
    <w:semiHidden/>
    <w:qFormat/>
    <w:uiPriority w:val="99"/>
    <w:rPr>
      <w:rFonts w:asciiTheme="minorHAnsi" w:hAnsiTheme="minorHAnsi" w:eastAsiaTheme="minorEastAsia" w:cstheme="minorBidi"/>
      <w:kern w:val="2"/>
      <w:sz w:val="21"/>
      <w:szCs w:val="22"/>
    </w:rPr>
  </w:style>
  <w:style w:type="character" w:customStyle="1" w:styleId="21">
    <w:name w:val="批注文字 Char"/>
    <w:basedOn w:val="10"/>
    <w:link w:val="2"/>
    <w:semiHidden/>
    <w:qFormat/>
    <w:uiPriority w:val="99"/>
    <w:rPr>
      <w:rFonts w:asciiTheme="minorHAnsi" w:hAnsiTheme="minorHAnsi" w:eastAsiaTheme="minorEastAsia" w:cstheme="minorBidi"/>
      <w:kern w:val="2"/>
      <w:sz w:val="21"/>
      <w:szCs w:val="22"/>
    </w:rPr>
  </w:style>
  <w:style w:type="character" w:customStyle="1" w:styleId="22">
    <w:name w:val="批注主题 Char"/>
    <w:basedOn w:val="21"/>
    <w:link w:val="8"/>
    <w:semiHidden/>
    <w:qFormat/>
    <w:uiPriority w:val="99"/>
    <w:rPr>
      <w:rFonts w:asciiTheme="minorHAnsi" w:hAnsiTheme="minorHAnsi" w:eastAsiaTheme="minorEastAsia" w:cstheme="minorBidi"/>
      <w:b/>
      <w:bCs/>
      <w:kern w:val="2"/>
      <w:sz w:val="21"/>
      <w:szCs w:val="22"/>
    </w:rPr>
  </w:style>
  <w:style w:type="paragraph" w:customStyle="1" w:styleId="23">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Organization</Company>
  <Pages>2</Pages>
  <Words>937</Words>
  <Characters>971</Characters>
  <Lines>9</Lines>
  <Paragraphs>2</Paragraphs>
  <TotalTime>0</TotalTime>
  <ScaleCrop>false</ScaleCrop>
  <LinksUpToDate>false</LinksUpToDate>
  <CharactersWithSpaces>971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2022-03-24T22:49:00Z</dcterms:created>
  <dc:creator>PC</dc:creator>
  <cp:lastModifiedBy>星星</cp:lastModifiedBy>
  <dcterms:modified xsi:type="dcterms:W3CDTF">2022-06-19T14:47:26Z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09CB8B5D8124470AA9F61CF315EC0042</vt:lpwstr>
  </property>
</Properties>
</file>