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Calibri" w:hAnsi="Calibri" w:eastAsia="方正小标宋简体" w:cs="Times New Roman"/>
          <w:sz w:val="32"/>
          <w:szCs w:val="32"/>
        </w:rPr>
      </w:pPr>
      <w:r>
        <w:rPr>
          <w:rFonts w:ascii="Calibri" w:hAnsi="Calibri" w:eastAsia="方正小标宋简体" w:cs="Times New Roman"/>
          <w:sz w:val="32"/>
          <w:szCs w:val="32"/>
        </w:rPr>
        <w:t>2022年沈阳市</w:t>
      </w:r>
      <w:r>
        <w:rPr>
          <w:rFonts w:hint="eastAsia" w:ascii="Calibri" w:hAnsi="Calibri" w:eastAsia="方正小标宋简体" w:cs="Times New Roman"/>
          <w:sz w:val="32"/>
          <w:szCs w:val="32"/>
        </w:rPr>
        <w:t>流通领域灭火器</w:t>
      </w:r>
      <w:r>
        <w:rPr>
          <w:rFonts w:ascii="Calibri" w:hAnsi="Calibri" w:eastAsia="方正小标宋简体" w:cs="Times New Roman"/>
          <w:sz w:val="32"/>
          <w:szCs w:val="32"/>
        </w:rPr>
        <w:t>产品质量监督抽查方案</w:t>
      </w:r>
    </w:p>
    <w:p>
      <w:pPr>
        <w:rPr>
          <w:rFonts w:cs="Times New Roman" w:asciiTheme="minorEastAsia" w:hAnsiTheme="minorEastAsia"/>
          <w:sz w:val="28"/>
          <w:szCs w:val="28"/>
        </w:rPr>
      </w:pPr>
    </w:p>
    <w:p>
      <w:pPr>
        <w:spacing w:line="360" w:lineRule="auto"/>
        <w:ind w:firstLine="420" w:firstLineChars="200"/>
        <w:rPr>
          <w:rFonts w:ascii="黑体" w:hAnsi="宋体" w:eastAsia="黑体" w:cs="Times New Roman"/>
          <w:szCs w:val="21"/>
        </w:rPr>
      </w:pPr>
      <w:r>
        <w:rPr>
          <w:rFonts w:hint="eastAsia" w:ascii="黑体" w:hAnsi="宋体" w:eastAsia="黑体" w:cs="Times New Roman"/>
          <w:szCs w:val="21"/>
        </w:rPr>
        <w:t>一、抽查领域</w:t>
      </w:r>
    </w:p>
    <w:p>
      <w:pPr>
        <w:spacing w:line="360" w:lineRule="auto"/>
        <w:ind w:firstLine="420" w:firstLineChars="200"/>
        <w:rPr>
          <w:rFonts w:ascii="宋体" w:hAnsi="宋体" w:eastAsia="宋体" w:cs="Times New Roman"/>
          <w:szCs w:val="21"/>
        </w:rPr>
      </w:pPr>
      <w:r>
        <w:rPr>
          <w:rFonts w:hint="eastAsia" w:ascii="宋体" w:hAnsi="宋体" w:eastAsia="宋体" w:cs="Times New Roman"/>
          <w:szCs w:val="21"/>
        </w:rPr>
        <w:t>本次抽查为流通领域抽样，抽查范围覆盖</w:t>
      </w:r>
      <w:r>
        <w:rPr>
          <w:rFonts w:hint="eastAsia" w:ascii="Calibri" w:hAnsi="Calibri" w:eastAsia="宋体" w:cs="Times New Roman"/>
          <w:szCs w:val="21"/>
        </w:rPr>
        <w:t>大东区、铁西区</w:t>
      </w:r>
      <w:r>
        <w:rPr>
          <w:rFonts w:hint="eastAsia" w:ascii="宋体" w:hAnsi="宋体" w:eastAsia="宋体" w:cs="Times New Roman"/>
          <w:szCs w:val="21"/>
        </w:rPr>
        <w:t>等</w:t>
      </w:r>
      <w:r>
        <w:rPr>
          <w:rFonts w:hint="eastAsia" w:ascii="Calibri" w:hAnsi="Calibri" w:eastAsia="宋体" w:cs="Times New Roman"/>
          <w:szCs w:val="21"/>
        </w:rPr>
        <w:t>灭火器</w:t>
      </w:r>
      <w:r>
        <w:rPr>
          <w:rFonts w:ascii="宋体" w:hAnsi="宋体" w:eastAsia="宋体" w:cs="Times New Roman"/>
          <w:szCs w:val="21"/>
        </w:rPr>
        <w:t>产品</w:t>
      </w:r>
      <w:r>
        <w:rPr>
          <w:rFonts w:hint="eastAsia" w:ascii="宋体" w:hAnsi="宋体" w:eastAsia="宋体" w:cs="Times New Roman"/>
          <w:szCs w:val="21"/>
        </w:rPr>
        <w:t>集中销售</w:t>
      </w:r>
      <w:r>
        <w:rPr>
          <w:rFonts w:ascii="宋体" w:hAnsi="宋体" w:eastAsia="宋体" w:cs="Times New Roman"/>
          <w:szCs w:val="21"/>
        </w:rPr>
        <w:t>地区</w:t>
      </w:r>
      <w:r>
        <w:rPr>
          <w:rFonts w:hint="eastAsia" w:ascii="宋体" w:hAnsi="宋体" w:eastAsia="宋体" w:cs="Times New Roman"/>
          <w:szCs w:val="21"/>
        </w:rPr>
        <w:t>。</w:t>
      </w:r>
    </w:p>
    <w:p>
      <w:pPr>
        <w:spacing w:line="360" w:lineRule="auto"/>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二、抽查对象</w:t>
      </w:r>
    </w:p>
    <w:p>
      <w:pPr>
        <w:spacing w:line="360" w:lineRule="auto"/>
        <w:ind w:firstLine="420" w:firstLineChars="200"/>
        <w:rPr>
          <w:rFonts w:ascii="Times New Roman" w:hAnsi="Times New Roman" w:eastAsia="黑体" w:cs="Times New Roman"/>
          <w:szCs w:val="21"/>
        </w:rPr>
      </w:pPr>
      <w:r>
        <w:rPr>
          <w:rFonts w:hint="eastAsia" w:ascii="Calibri" w:hAnsi="Calibri" w:eastAsia="宋体" w:cs="Times New Roman"/>
          <w:szCs w:val="21"/>
        </w:rPr>
        <w:t>抽查对象为沈阳市行政区域内从事灭火器产品销售的市场主体，包括</w:t>
      </w:r>
      <w:r>
        <w:rPr>
          <w:rFonts w:hint="eastAsia"/>
          <w:color w:val="000000"/>
          <w:szCs w:val="21"/>
        </w:rPr>
        <w:t>消防器材商店、直销店等</w:t>
      </w:r>
      <w:r>
        <w:rPr>
          <w:rFonts w:hint="eastAsia" w:ascii="Calibri" w:hAnsi="Calibri" w:eastAsia="宋体" w:cs="Times New Roman"/>
          <w:szCs w:val="21"/>
        </w:rPr>
        <w:t>。</w:t>
      </w:r>
    </w:p>
    <w:p>
      <w:pPr>
        <w:spacing w:line="360" w:lineRule="auto"/>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三、抽查产品种类</w:t>
      </w:r>
    </w:p>
    <w:p>
      <w:pPr>
        <w:adjustRightInd w:val="0"/>
        <w:spacing w:line="360" w:lineRule="auto"/>
        <w:ind w:firstLine="420" w:firstLineChars="200"/>
        <w:rPr>
          <w:szCs w:val="21"/>
        </w:rPr>
      </w:pPr>
      <w:r>
        <w:rPr>
          <w:rFonts w:hint="eastAsia"/>
          <w:szCs w:val="21"/>
        </w:rPr>
        <w:t>（一）</w:t>
      </w:r>
      <w:r>
        <w:rPr>
          <w:szCs w:val="21"/>
        </w:rPr>
        <w:t>产品类型</w:t>
      </w:r>
    </w:p>
    <w:p>
      <w:pPr>
        <w:adjustRightInd w:val="0"/>
        <w:spacing w:line="360" w:lineRule="auto"/>
        <w:ind w:firstLine="420" w:firstLineChars="200"/>
        <w:rPr>
          <w:szCs w:val="21"/>
        </w:rPr>
      </w:pPr>
      <w:r>
        <w:rPr>
          <w:rFonts w:hint="eastAsia"/>
          <w:szCs w:val="21"/>
        </w:rPr>
        <w:t>根据灭火器的移动方式可以分为简易式灭火器、手提式灭火器和推车式灭火器。</w:t>
      </w:r>
    </w:p>
    <w:p>
      <w:pPr>
        <w:adjustRightInd w:val="0"/>
        <w:spacing w:line="360" w:lineRule="auto"/>
        <w:ind w:firstLine="420" w:firstLineChars="200"/>
        <w:rPr>
          <w:szCs w:val="21"/>
        </w:rPr>
      </w:pPr>
      <w:r>
        <w:rPr>
          <w:rFonts w:hint="eastAsia"/>
          <w:szCs w:val="21"/>
        </w:rPr>
        <w:t>根据灭火器填充的灭火剂可以分为干粉灭火器、水基型灭火器、二氧化碳灭火器等。</w:t>
      </w:r>
    </w:p>
    <w:p>
      <w:pPr>
        <w:adjustRightInd w:val="0"/>
        <w:spacing w:line="360" w:lineRule="auto"/>
        <w:ind w:firstLine="420" w:firstLineChars="200"/>
        <w:rPr>
          <w:szCs w:val="21"/>
        </w:rPr>
      </w:pPr>
      <w:r>
        <w:rPr>
          <w:rFonts w:hint="eastAsia"/>
          <w:szCs w:val="21"/>
        </w:rPr>
        <w:t>（二）</w:t>
      </w:r>
      <w:r>
        <w:rPr>
          <w:szCs w:val="21"/>
        </w:rPr>
        <w:t>抽查产品范围</w:t>
      </w:r>
    </w:p>
    <w:p>
      <w:pPr>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1.可抽查的具体产品种类</w:t>
      </w:r>
    </w:p>
    <w:p>
      <w:pPr>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根据沈阳市场上常见的灭火器种类，本次拟抽查产品范围包括手提式干粉灭火器*和手提式水基型灭火器。其中标注*的产品类别为必抽类别。</w:t>
      </w:r>
    </w:p>
    <w:p>
      <w:pPr>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2.不应抽查的易混淆产品种类</w:t>
      </w:r>
    </w:p>
    <w:p>
      <w:pPr>
        <w:spacing w:line="360" w:lineRule="auto"/>
        <w:ind w:firstLine="420" w:firstLineChars="200"/>
        <w:rPr>
          <w:rFonts w:ascii="Calibri" w:hAnsi="Calibri" w:eastAsia="宋体" w:cs="Times New Roman"/>
          <w:color w:val="auto"/>
          <w:szCs w:val="21"/>
        </w:rPr>
      </w:pPr>
      <w:bookmarkStart w:id="0" w:name="_GoBack"/>
      <w:r>
        <w:rPr>
          <w:rFonts w:hint="eastAsia" w:ascii="Calibri" w:hAnsi="Calibri" w:eastAsia="宋体" w:cs="Times New Roman"/>
          <w:color w:val="auto"/>
          <w:szCs w:val="21"/>
        </w:rPr>
        <w:t>本次抽查不包括简易式灭火器、推车式灭火器和手提式二氧化碳灭火器等产品。</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四、抽样要求</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在被抽样</w:t>
      </w:r>
      <w:r>
        <w:rPr>
          <w:rFonts w:hint="eastAsia" w:ascii="Calibri" w:hAnsi="Calibri" w:eastAsia="宋体" w:cs="Times New Roman"/>
          <w:color w:val="auto"/>
          <w:szCs w:val="21"/>
          <w:highlight w:val="none"/>
          <w:lang w:eastAsia="zh-CN"/>
        </w:rPr>
        <w:t>销售者</w:t>
      </w:r>
      <w:r>
        <w:rPr>
          <w:rFonts w:hint="eastAsia" w:ascii="Calibri" w:hAnsi="Calibri" w:eastAsia="宋体" w:cs="Times New Roman"/>
          <w:color w:val="auto"/>
          <w:szCs w:val="21"/>
          <w:highlight w:val="none"/>
        </w:rPr>
        <w:t>的待销产品中随机抽取有产品质量检验合格证明或者以其他形式表明合格的、</w:t>
      </w:r>
      <w:r>
        <w:rPr>
          <w:rFonts w:ascii="Calibri" w:hAnsi="Calibri" w:eastAsia="宋体" w:cs="Times New Roman"/>
          <w:color w:val="auto"/>
          <w:szCs w:val="21"/>
          <w:highlight w:val="none"/>
        </w:rPr>
        <w:t>抽样实施日期前一年内生产的</w:t>
      </w:r>
      <w:r>
        <w:rPr>
          <w:rFonts w:hint="eastAsia" w:ascii="Calibri" w:hAnsi="Calibri" w:eastAsia="宋体" w:cs="Times New Roman"/>
          <w:color w:val="auto"/>
          <w:szCs w:val="21"/>
          <w:highlight w:val="none"/>
        </w:rPr>
        <w:t>同一型号、同一批次</w:t>
      </w:r>
      <w:r>
        <w:rPr>
          <w:rFonts w:ascii="Calibri" w:hAnsi="Calibri" w:eastAsia="宋体" w:cs="Times New Roman"/>
          <w:color w:val="auto"/>
          <w:szCs w:val="21"/>
          <w:highlight w:val="none"/>
        </w:rPr>
        <w:t>产品</w:t>
      </w:r>
      <w:r>
        <w:rPr>
          <w:rFonts w:hint="eastAsia" w:ascii="Calibri" w:hAnsi="Calibri" w:eastAsia="宋体" w:cs="Times New Roman"/>
          <w:color w:val="auto"/>
          <w:szCs w:val="21"/>
          <w:highlight w:val="none"/>
        </w:rPr>
        <w:t>（</w:t>
      </w:r>
      <w:r>
        <w:rPr>
          <w:rFonts w:ascii="Calibri" w:hAnsi="Calibri" w:eastAsia="宋体" w:cs="Times New Roman"/>
          <w:color w:val="auto"/>
          <w:szCs w:val="21"/>
          <w:highlight w:val="none"/>
        </w:rPr>
        <w:t>若产品标注有效期，则有效期应在监督抽查整体工作结束后</w:t>
      </w:r>
      <w:r>
        <w:rPr>
          <w:rFonts w:hint="eastAsia" w:ascii="Calibri" w:hAnsi="Calibri" w:eastAsia="宋体" w:cs="Times New Roman"/>
          <w:color w:val="auto"/>
          <w:szCs w:val="21"/>
          <w:highlight w:val="none"/>
        </w:rPr>
        <w:t>）</w:t>
      </w:r>
      <w:r>
        <w:rPr>
          <w:rFonts w:ascii="Calibri" w:hAnsi="Calibri" w:eastAsia="宋体" w:cs="Times New Roman"/>
          <w:color w:val="auto"/>
          <w:szCs w:val="21"/>
          <w:highlight w:val="none"/>
        </w:rPr>
        <w:t>。</w:t>
      </w:r>
      <w:r>
        <w:rPr>
          <w:rFonts w:hint="eastAsia" w:ascii="Calibri" w:hAnsi="Calibri" w:eastAsia="宋体" w:cs="Times New Roman"/>
          <w:color w:val="auto"/>
          <w:szCs w:val="21"/>
          <w:highlight w:val="none"/>
        </w:rPr>
        <w:t>如存在</w:t>
      </w:r>
      <w:r>
        <w:rPr>
          <w:rFonts w:ascii="Calibri" w:hAnsi="Calibri" w:eastAsia="宋体" w:cs="Times New Roman"/>
          <w:color w:val="auto"/>
          <w:szCs w:val="21"/>
          <w:highlight w:val="none"/>
        </w:rPr>
        <w:t>多个规格型号，优先抽取企业的主导产品</w:t>
      </w:r>
      <w:r>
        <w:rPr>
          <w:rFonts w:hint="eastAsia" w:ascii="Calibri" w:hAnsi="Calibri" w:eastAsia="宋体" w:cs="Times New Roman"/>
          <w:color w:val="auto"/>
          <w:szCs w:val="21"/>
          <w:highlight w:val="none"/>
        </w:rPr>
        <w:t>。</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抽样基数满足抽样数量即可。</w:t>
      </w:r>
    </w:p>
    <w:p>
      <w:pPr>
        <w:spacing w:line="360" w:lineRule="auto"/>
        <w:ind w:firstLine="420" w:firstLineChars="200"/>
        <w:rPr>
          <w:rFonts w:hint="eastAsia" w:ascii="Calibri" w:hAnsi="Calibri" w:eastAsia="宋体" w:cs="Times New Roman"/>
          <w:strike w:val="0"/>
          <w:dstrike w:val="0"/>
          <w:color w:val="auto"/>
          <w:szCs w:val="21"/>
          <w:highlight w:val="none"/>
        </w:rPr>
      </w:pPr>
      <w:r>
        <w:rPr>
          <w:rFonts w:hint="eastAsia"/>
          <w:color w:val="auto"/>
          <w:szCs w:val="21"/>
          <w:highlight w:val="none"/>
        </w:rPr>
        <w:t>备用样品由被抽样销售者先行无偿提供，封存于被抽样销售者处</w:t>
      </w:r>
      <w:r>
        <w:rPr>
          <w:rFonts w:hint="eastAsia"/>
          <w:color w:val="auto"/>
          <w:szCs w:val="21"/>
          <w:highlight w:val="none"/>
          <w:lang w:eastAsia="zh-CN"/>
        </w:rPr>
        <w:t>，</w:t>
      </w:r>
      <w:r>
        <w:rPr>
          <w:rFonts w:hint="eastAsia" w:ascii="Calibri" w:hAnsi="Calibri" w:eastAsia="宋体" w:cs="Times New Roman"/>
          <w:strike w:val="0"/>
          <w:dstrike w:val="0"/>
          <w:color w:val="auto"/>
          <w:szCs w:val="21"/>
          <w:highlight w:val="none"/>
        </w:rPr>
        <w:t>并加施封存标识，拍摄、保存相应影像记录，同时应填写《产品质量监督抽查样品封存和处置告知单》。</w:t>
      </w:r>
    </w:p>
    <w:p>
      <w:pPr>
        <w:adjustRightInd w:val="0"/>
        <w:spacing w:line="360" w:lineRule="auto"/>
        <w:ind w:firstLine="420" w:firstLineChars="200"/>
        <w:rPr>
          <w:color w:val="auto"/>
          <w:szCs w:val="21"/>
        </w:rPr>
      </w:pPr>
      <w:r>
        <w:rPr>
          <w:rFonts w:hint="eastAsia"/>
          <w:color w:val="auto"/>
          <w:szCs w:val="21"/>
        </w:rPr>
        <w:t>此产品需对2021年市级产品质量监督抽查不合格产品的销售者开展跟踪抽查。</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五、样品处置</w:t>
      </w:r>
    </w:p>
    <w:p>
      <w:pPr>
        <w:adjustRightInd w:val="0"/>
        <w:spacing w:line="360" w:lineRule="auto"/>
        <w:ind w:firstLine="420" w:firstLineChars="200"/>
        <w:rPr>
          <w:rFonts w:hint="eastAsia"/>
          <w:color w:val="auto"/>
          <w:szCs w:val="21"/>
          <w:highlight w:val="none"/>
        </w:rPr>
      </w:pPr>
      <w:r>
        <w:rPr>
          <w:rFonts w:hint="eastAsia"/>
          <w:color w:val="auto"/>
          <w:szCs w:val="21"/>
          <w:highlight w:val="none"/>
        </w:rPr>
        <w:t>检验样品及备用样品应由抽样人员和被抽样单位陪同人员用封样单分别封样。封样时，应保证所有可开启部位贴封完好（防止样品被调换），并由抽样人员和被抽样单位代表共同签字确认。</w:t>
      </w:r>
    </w:p>
    <w:p>
      <w:pPr>
        <w:adjustRightInd w:val="0"/>
        <w:spacing w:line="360" w:lineRule="auto"/>
        <w:ind w:firstLine="420" w:firstLineChars="200"/>
        <w:rPr>
          <w:rFonts w:hint="eastAsia"/>
          <w:color w:val="auto"/>
          <w:szCs w:val="21"/>
          <w:highlight w:val="none"/>
        </w:rPr>
      </w:pPr>
      <w:r>
        <w:rPr>
          <w:rFonts w:hint="eastAsia"/>
          <w:color w:val="auto"/>
          <w:szCs w:val="21"/>
          <w:highlight w:val="none"/>
          <w:lang w:val="en-US" w:eastAsia="zh-CN"/>
        </w:rPr>
        <w:t>检验</w:t>
      </w:r>
      <w:r>
        <w:rPr>
          <w:rFonts w:hint="eastAsia"/>
          <w:color w:val="auto"/>
          <w:szCs w:val="21"/>
          <w:highlight w:val="none"/>
        </w:rPr>
        <w:t>样品由抽样人员</w:t>
      </w:r>
      <w:r>
        <w:rPr>
          <w:color w:val="auto"/>
          <w:szCs w:val="21"/>
          <w:highlight w:val="none"/>
        </w:rPr>
        <w:t>携带或寄送至检验机构</w:t>
      </w:r>
      <w:r>
        <w:rPr>
          <w:rFonts w:hint="eastAsia"/>
          <w:color w:val="auto"/>
          <w:szCs w:val="21"/>
          <w:highlight w:val="none"/>
        </w:rPr>
        <w:t>，在</w:t>
      </w:r>
      <w:r>
        <w:rPr>
          <w:color w:val="auto"/>
          <w:szCs w:val="21"/>
          <w:highlight w:val="none"/>
        </w:rPr>
        <w:t>携带或寄送</w:t>
      </w:r>
      <w:r>
        <w:rPr>
          <w:rFonts w:hint="eastAsia"/>
          <w:color w:val="auto"/>
          <w:szCs w:val="21"/>
          <w:highlight w:val="none"/>
        </w:rPr>
        <w:t>过程中应保证样品与封样单的完好无损。</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六</w:t>
      </w:r>
      <w:r>
        <w:rPr>
          <w:rFonts w:ascii="Times New Roman" w:hAnsi="Times New Roman" w:eastAsia="黑体" w:cs="Times New Roman"/>
          <w:color w:val="auto"/>
          <w:szCs w:val="21"/>
          <w:highlight w:val="none"/>
        </w:rPr>
        <w:t>、</w:t>
      </w:r>
      <w:r>
        <w:rPr>
          <w:rFonts w:hint="eastAsia" w:ascii="Times New Roman" w:hAnsi="Times New Roman" w:eastAsia="黑体" w:cs="Times New Roman"/>
          <w:color w:val="auto"/>
          <w:szCs w:val="21"/>
          <w:highlight w:val="none"/>
        </w:rPr>
        <w:t>抽查工作分工及进度要求</w:t>
      </w:r>
    </w:p>
    <w:p>
      <w:pPr>
        <w:pStyle w:val="14"/>
        <w:spacing w:line="360" w:lineRule="auto"/>
        <w:rPr>
          <w:color w:val="auto"/>
          <w:szCs w:val="21"/>
          <w:highlight w:val="none"/>
        </w:rPr>
      </w:pPr>
      <w:r>
        <w:rPr>
          <w:rFonts w:hint="eastAsia"/>
          <w:color w:val="auto"/>
          <w:szCs w:val="21"/>
          <w:highlight w:val="none"/>
        </w:rPr>
        <w:t>本次抽查工作严格按照任务下达部门进度要求执行，现对抽查工作计划、进度预做如下安排，详见表</w:t>
      </w:r>
      <w:r>
        <w:rPr>
          <w:rFonts w:hint="eastAsia"/>
          <w:color w:val="auto"/>
          <w:szCs w:val="21"/>
          <w:highlight w:val="none"/>
          <w:lang w:val="en-US" w:eastAsia="zh-CN"/>
        </w:rPr>
        <w:t>1</w:t>
      </w:r>
      <w:r>
        <w:rPr>
          <w:rFonts w:hint="eastAsia"/>
          <w:color w:val="auto"/>
          <w:szCs w:val="21"/>
          <w:highlight w:val="none"/>
        </w:rPr>
        <w:t>。</w:t>
      </w:r>
    </w:p>
    <w:p>
      <w:pPr>
        <w:adjustRightInd w:val="0"/>
        <w:spacing w:line="360" w:lineRule="auto"/>
        <w:ind w:firstLine="420" w:firstLineChars="200"/>
        <w:jc w:val="center"/>
        <w:rPr>
          <w:color w:val="auto"/>
          <w:szCs w:val="21"/>
        </w:rPr>
      </w:pPr>
      <w:r>
        <w:rPr>
          <w:rFonts w:hint="eastAsia"/>
          <w:color w:val="auto"/>
          <w:szCs w:val="21"/>
        </w:rPr>
        <w:t>表1抽查工作进度要求</w:t>
      </w:r>
    </w:p>
    <w:tbl>
      <w:tblPr>
        <w:tblStyle w:val="9"/>
        <w:tblW w:w="8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3119"/>
        <w:gridCol w:w="3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rPr>
            </w:pPr>
            <w:r>
              <w:rPr>
                <w:rFonts w:hint="eastAsia" w:asciiTheme="minorEastAsia" w:hAnsiTheme="minorEastAsia"/>
                <w:bCs/>
                <w:color w:val="auto"/>
                <w:szCs w:val="21"/>
              </w:rPr>
              <w:t>工作流程</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rPr>
            </w:pPr>
            <w:r>
              <w:rPr>
                <w:rFonts w:hint="eastAsia" w:asciiTheme="minorEastAsia" w:hAnsiTheme="minorEastAsia"/>
                <w:bCs/>
                <w:color w:val="auto"/>
                <w:szCs w:val="21"/>
              </w:rPr>
              <w:t>责任单位</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rPr>
            </w:pPr>
            <w:r>
              <w:rPr>
                <w:rFonts w:hint="eastAsia" w:asciiTheme="minorEastAsia" w:hAnsiTheme="minorEastAsia"/>
                <w:bCs/>
                <w:color w:val="auto"/>
                <w:szCs w:val="21"/>
              </w:rPr>
              <w:t>进度要求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bCs/>
                <w:color w:val="auto"/>
                <w:szCs w:val="21"/>
              </w:rPr>
              <w:t>样品抽取</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rPr>
            </w:pPr>
            <w:r>
              <w:rPr>
                <w:rFonts w:hint="eastAsia" w:ascii="宋体" w:hAnsi="宋体" w:eastAsia="宋体"/>
                <w:color w:val="auto"/>
                <w:szCs w:val="21"/>
              </w:rPr>
              <w:t>沈阳产品质量监督检验院负责，区、县（市）局配合</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日-</w:t>
            </w:r>
            <w:r>
              <w:rPr>
                <w:rFonts w:hint="eastAsia" w:ascii="宋体" w:hAnsi="宋体" w:eastAsia="宋体"/>
                <w:color w:val="auto"/>
                <w:szCs w:val="21"/>
                <w:highlight w:val="none"/>
                <w:lang w:val="en-US" w:eastAsia="zh-CN"/>
              </w:rPr>
              <w:t>8</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22</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bCs/>
                <w:color w:val="auto"/>
                <w:szCs w:val="21"/>
              </w:rPr>
              <w:t>被抽样单位汇总表上报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rPr>
            </w:pPr>
            <w:r>
              <w:rPr>
                <w:rFonts w:hint="eastAsia" w:ascii="宋体" w:hAnsi="宋体" w:eastAsia="宋体"/>
                <w:color w:val="auto"/>
                <w:szCs w:val="21"/>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8</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24</w:t>
            </w:r>
            <w:r>
              <w:rPr>
                <w:rFonts w:hint="eastAsia" w:ascii="宋体" w:hAnsi="宋体" w:eastAsia="宋体"/>
                <w:color w:val="auto"/>
                <w:szCs w:val="21"/>
                <w:highlight w:val="none"/>
              </w:rPr>
              <w:t>日前完成</w:t>
            </w:r>
          </w:p>
          <w:p>
            <w:pPr>
              <w:snapToGrid w:val="0"/>
              <w:jc w:val="center"/>
              <w:rPr>
                <w:rFonts w:ascii="宋体" w:hAnsi="宋体" w:eastAsia="宋体"/>
                <w:color w:val="auto"/>
                <w:szCs w:val="21"/>
              </w:rPr>
            </w:pPr>
            <w:r>
              <w:rPr>
                <w:rFonts w:hint="eastAsia" w:ascii="宋体" w:hAnsi="宋体" w:eastAsia="宋体"/>
                <w:color w:val="auto"/>
                <w:szCs w:val="21"/>
                <w:highlight w:val="none"/>
              </w:rPr>
              <w:t>（抽样工作结束2个工作日内）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bCs/>
                <w:color w:val="auto"/>
                <w:szCs w:val="21"/>
              </w:rPr>
              <w:t>样品检验</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rPr>
            </w:pPr>
            <w:r>
              <w:rPr>
                <w:rFonts w:hint="eastAsia" w:ascii="宋体" w:hAnsi="宋体" w:eastAsia="宋体"/>
                <w:color w:val="auto"/>
                <w:szCs w:val="21"/>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月20日-</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19</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ascii="宋体" w:hAnsi="宋体" w:eastAsia="宋体"/>
                <w:bCs/>
                <w:szCs w:val="21"/>
              </w:rPr>
              <w:t>检验报告及结果</w:t>
            </w:r>
            <w:r>
              <w:rPr>
                <w:rFonts w:hint="eastAsia" w:ascii="宋体" w:hAnsi="宋体" w:eastAsia="宋体"/>
                <w:bCs/>
                <w:szCs w:val="21"/>
              </w:rPr>
              <w:t>通知书</w:t>
            </w:r>
            <w:r>
              <w:rPr>
                <w:rFonts w:ascii="宋体" w:hAnsi="宋体" w:eastAsia="宋体"/>
                <w:bCs/>
                <w:szCs w:val="21"/>
              </w:rPr>
              <w:t>发放</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szCs w:val="21"/>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20</w:t>
            </w:r>
            <w:r>
              <w:rPr>
                <w:rFonts w:hint="eastAsia" w:ascii="宋体" w:hAnsi="宋体" w:eastAsia="宋体"/>
                <w:color w:val="auto"/>
                <w:szCs w:val="21"/>
                <w:highlight w:val="none"/>
              </w:rPr>
              <w:t>日-</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23</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hint="eastAsia" w:ascii="宋体" w:hAnsi="宋体" w:eastAsia="宋体"/>
                <w:bCs/>
                <w:szCs w:val="21"/>
              </w:rPr>
              <w:t>检验结果上报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szCs w:val="21"/>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28</w:t>
            </w:r>
            <w:r>
              <w:rPr>
                <w:rFonts w:hint="eastAsia" w:ascii="宋体" w:hAnsi="宋体" w:eastAsia="宋体"/>
                <w:color w:val="auto"/>
                <w:szCs w:val="21"/>
                <w:highlight w:val="none"/>
              </w:rPr>
              <w:t>日前完成</w:t>
            </w:r>
          </w:p>
          <w:p>
            <w:pPr>
              <w:snapToGrid w:val="0"/>
              <w:jc w:val="center"/>
              <w:rPr>
                <w:rFonts w:ascii="宋体" w:hAnsi="宋体" w:eastAsia="宋体"/>
                <w:szCs w:val="21"/>
              </w:rPr>
            </w:pPr>
            <w:r>
              <w:rPr>
                <w:rFonts w:hint="eastAsia" w:ascii="宋体" w:hAnsi="宋体" w:eastAsia="宋体"/>
                <w:color w:val="auto"/>
                <w:szCs w:val="21"/>
                <w:highlight w:val="none"/>
              </w:rPr>
              <w:t>（检验工作完成2个工作日内）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hint="eastAsia" w:ascii="宋体" w:hAnsi="宋体" w:eastAsia="宋体"/>
                <w:bCs/>
                <w:szCs w:val="21"/>
              </w:rPr>
              <w:t>材料汇总及上报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szCs w:val="21"/>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10</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14</w:t>
            </w:r>
            <w:r>
              <w:rPr>
                <w:rFonts w:hint="eastAsia" w:ascii="宋体" w:hAnsi="宋体" w:eastAsia="宋体"/>
                <w:color w:val="auto"/>
                <w:szCs w:val="21"/>
                <w:highlight w:val="none"/>
              </w:rPr>
              <w:t>日前完成</w:t>
            </w:r>
          </w:p>
        </w:tc>
      </w:tr>
    </w:tbl>
    <w:p>
      <w:pPr>
        <w:jc w:val="center"/>
        <w:rPr>
          <w:rFonts w:asciiTheme="majorEastAsia" w:hAnsiTheme="majorEastAsia" w:eastAsiaTheme="majorEastAsia"/>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汉鼎简书宋二">
    <w:altName w:val="方正书宋_GBK"/>
    <w:panose1 w:val="00000000000000000000"/>
    <w:charset w:val="86"/>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c2ZGZiNzZiNDVlOGViOWVmM2JhOTY0NGJkNjUyYzgifQ=="/>
  </w:docVars>
  <w:rsids>
    <w:rsidRoot w:val="005E4D52"/>
    <w:rsid w:val="00003FF2"/>
    <w:rsid w:val="000057EB"/>
    <w:rsid w:val="000209E9"/>
    <w:rsid w:val="00091ABD"/>
    <w:rsid w:val="000A25B4"/>
    <w:rsid w:val="000A558C"/>
    <w:rsid w:val="000D071F"/>
    <w:rsid w:val="000D6E50"/>
    <w:rsid w:val="000F715F"/>
    <w:rsid w:val="001C03A2"/>
    <w:rsid w:val="001C5BB3"/>
    <w:rsid w:val="002160DF"/>
    <w:rsid w:val="0023317F"/>
    <w:rsid w:val="00247113"/>
    <w:rsid w:val="00276265"/>
    <w:rsid w:val="002A75B2"/>
    <w:rsid w:val="002F695B"/>
    <w:rsid w:val="003020DC"/>
    <w:rsid w:val="00327386"/>
    <w:rsid w:val="003327D6"/>
    <w:rsid w:val="00351D52"/>
    <w:rsid w:val="00352667"/>
    <w:rsid w:val="003C5FB5"/>
    <w:rsid w:val="003D2260"/>
    <w:rsid w:val="003E564D"/>
    <w:rsid w:val="00401715"/>
    <w:rsid w:val="00405FE1"/>
    <w:rsid w:val="00492F80"/>
    <w:rsid w:val="004B30B7"/>
    <w:rsid w:val="004D2FCB"/>
    <w:rsid w:val="00525029"/>
    <w:rsid w:val="00576D3C"/>
    <w:rsid w:val="005D1ABD"/>
    <w:rsid w:val="005E4CEA"/>
    <w:rsid w:val="005E4D52"/>
    <w:rsid w:val="00667B58"/>
    <w:rsid w:val="00683FA6"/>
    <w:rsid w:val="00684361"/>
    <w:rsid w:val="0068700D"/>
    <w:rsid w:val="006C2551"/>
    <w:rsid w:val="006F0924"/>
    <w:rsid w:val="006F146E"/>
    <w:rsid w:val="00700CDF"/>
    <w:rsid w:val="00723F93"/>
    <w:rsid w:val="007505E4"/>
    <w:rsid w:val="0075776F"/>
    <w:rsid w:val="007A101D"/>
    <w:rsid w:val="007B3ED1"/>
    <w:rsid w:val="007B42D8"/>
    <w:rsid w:val="00831FB4"/>
    <w:rsid w:val="00865E02"/>
    <w:rsid w:val="00880BCA"/>
    <w:rsid w:val="008B12BF"/>
    <w:rsid w:val="008B3533"/>
    <w:rsid w:val="009156A0"/>
    <w:rsid w:val="00922CBC"/>
    <w:rsid w:val="00934E96"/>
    <w:rsid w:val="0093582B"/>
    <w:rsid w:val="00944F0B"/>
    <w:rsid w:val="00952AB5"/>
    <w:rsid w:val="00960815"/>
    <w:rsid w:val="00981A4E"/>
    <w:rsid w:val="009868DF"/>
    <w:rsid w:val="009B3E75"/>
    <w:rsid w:val="009D0A46"/>
    <w:rsid w:val="009D2623"/>
    <w:rsid w:val="00A039A2"/>
    <w:rsid w:val="00A270BE"/>
    <w:rsid w:val="00A4534E"/>
    <w:rsid w:val="00A47C1E"/>
    <w:rsid w:val="00A64EB4"/>
    <w:rsid w:val="00A95AE2"/>
    <w:rsid w:val="00AB4837"/>
    <w:rsid w:val="00AF0EE8"/>
    <w:rsid w:val="00B13D28"/>
    <w:rsid w:val="00B4184F"/>
    <w:rsid w:val="00B67DB1"/>
    <w:rsid w:val="00B7324A"/>
    <w:rsid w:val="00B934B4"/>
    <w:rsid w:val="00B958DE"/>
    <w:rsid w:val="00BC5F78"/>
    <w:rsid w:val="00BE692E"/>
    <w:rsid w:val="00C416E5"/>
    <w:rsid w:val="00CA3562"/>
    <w:rsid w:val="00CF7D05"/>
    <w:rsid w:val="00D03350"/>
    <w:rsid w:val="00D44BDB"/>
    <w:rsid w:val="00D46AC2"/>
    <w:rsid w:val="00DA3C97"/>
    <w:rsid w:val="00DC464F"/>
    <w:rsid w:val="00DC5120"/>
    <w:rsid w:val="00DF0078"/>
    <w:rsid w:val="00E0363C"/>
    <w:rsid w:val="00E10687"/>
    <w:rsid w:val="00E325D1"/>
    <w:rsid w:val="00E57E94"/>
    <w:rsid w:val="00E67A24"/>
    <w:rsid w:val="00E97008"/>
    <w:rsid w:val="00EB6B2B"/>
    <w:rsid w:val="00ED300A"/>
    <w:rsid w:val="00F12FE6"/>
    <w:rsid w:val="00F3582F"/>
    <w:rsid w:val="00F50468"/>
    <w:rsid w:val="00F55267"/>
    <w:rsid w:val="00FB384A"/>
    <w:rsid w:val="00FC1693"/>
    <w:rsid w:val="00FC3095"/>
    <w:rsid w:val="135B097D"/>
    <w:rsid w:val="136B589F"/>
    <w:rsid w:val="136F850B"/>
    <w:rsid w:val="14567D50"/>
    <w:rsid w:val="1C6D6029"/>
    <w:rsid w:val="2D5B2673"/>
    <w:rsid w:val="2F5B5397"/>
    <w:rsid w:val="3924065D"/>
    <w:rsid w:val="3BE71939"/>
    <w:rsid w:val="3CF6235D"/>
    <w:rsid w:val="3E915111"/>
    <w:rsid w:val="4D3B646B"/>
    <w:rsid w:val="58D602E6"/>
    <w:rsid w:val="6214067D"/>
    <w:rsid w:val="623C6AEF"/>
    <w:rsid w:val="6B426590"/>
    <w:rsid w:val="6BD7D71E"/>
    <w:rsid w:val="739904C0"/>
    <w:rsid w:val="7A4C54D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semiHidden/>
    <w:unhideWhenUsed/>
    <w:qFormat/>
    <w:uiPriority w:val="99"/>
    <w:pPr>
      <w:jc w:val="left"/>
    </w:pPr>
  </w:style>
  <w:style w:type="paragraph" w:styleId="3">
    <w:name w:val="endnote text"/>
    <w:basedOn w:val="1"/>
    <w:link w:val="20"/>
    <w:semiHidden/>
    <w:unhideWhenUsed/>
    <w:qFormat/>
    <w:uiPriority w:val="99"/>
    <w:pPr>
      <w:snapToGrid w:val="0"/>
      <w:jc w:val="left"/>
    </w:pPr>
  </w:style>
  <w:style w:type="paragraph" w:styleId="4">
    <w:name w:val="Balloon Text"/>
    <w:basedOn w:val="1"/>
    <w:link w:val="18"/>
    <w:semiHidden/>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9"/>
    <w:semiHidden/>
    <w:unhideWhenUsed/>
    <w:qFormat/>
    <w:uiPriority w:val="99"/>
    <w:pPr>
      <w:snapToGrid w:val="0"/>
      <w:jc w:val="left"/>
    </w:pPr>
    <w:rPr>
      <w:sz w:val="18"/>
      <w:szCs w:val="18"/>
    </w:rPr>
  </w:style>
  <w:style w:type="paragraph" w:styleId="8">
    <w:name w:val="annotation subject"/>
    <w:basedOn w:val="2"/>
    <w:next w:val="2"/>
    <w:link w:val="22"/>
    <w:semiHidden/>
    <w:unhideWhenUsed/>
    <w:qFormat/>
    <w:uiPriority w:val="99"/>
    <w:rPr>
      <w:b/>
      <w:bCs/>
    </w:rPr>
  </w:style>
  <w:style w:type="character" w:styleId="11">
    <w:name w:val="endnote reference"/>
    <w:basedOn w:val="10"/>
    <w:semiHidden/>
    <w:unhideWhenUsed/>
    <w:qFormat/>
    <w:uiPriority w:val="99"/>
    <w:rPr>
      <w:vertAlign w:val="superscript"/>
    </w:rPr>
  </w:style>
  <w:style w:type="character" w:styleId="12">
    <w:name w:val="annotation reference"/>
    <w:basedOn w:val="10"/>
    <w:semiHidden/>
    <w:unhideWhenUsed/>
    <w:qFormat/>
    <w:uiPriority w:val="99"/>
    <w:rPr>
      <w:sz w:val="21"/>
      <w:szCs w:val="21"/>
    </w:rPr>
  </w:style>
  <w:style w:type="character" w:styleId="13">
    <w:name w:val="footnote reference"/>
    <w:basedOn w:val="10"/>
    <w:semiHidden/>
    <w:unhideWhenUsed/>
    <w:qFormat/>
    <w:uiPriority w:val="99"/>
    <w:rPr>
      <w:vertAlign w:val="superscript"/>
    </w:rPr>
  </w:style>
  <w:style w:type="paragraph" w:styleId="14">
    <w:name w:val="List Paragraph"/>
    <w:basedOn w:val="1"/>
    <w:qFormat/>
    <w:uiPriority w:val="34"/>
    <w:pPr>
      <w:ind w:firstLine="420" w:firstLineChars="200"/>
    </w:pPr>
  </w:style>
  <w:style w:type="paragraph" w:customStyle="1" w:styleId="15">
    <w:name w:val="肥料正文"/>
    <w:basedOn w:val="1"/>
    <w:qFormat/>
    <w:uiPriority w:val="0"/>
    <w:pPr>
      <w:adjustRightInd w:val="0"/>
      <w:snapToGrid w:val="0"/>
      <w:spacing w:line="317" w:lineRule="auto"/>
      <w:ind w:firstLine="200" w:firstLineChars="200"/>
    </w:pPr>
    <w:rPr>
      <w:rFonts w:eastAsia="汉鼎简书宋二"/>
      <w:snapToGrid w:val="0"/>
      <w:spacing w:val="2"/>
      <w:kern w:val="0"/>
      <w:sz w:val="22"/>
    </w:rPr>
  </w:style>
  <w:style w:type="character" w:customStyle="1" w:styleId="16">
    <w:name w:val="页眉 Char"/>
    <w:basedOn w:val="10"/>
    <w:link w:val="6"/>
    <w:qFormat/>
    <w:uiPriority w:val="99"/>
    <w:rPr>
      <w:sz w:val="18"/>
      <w:szCs w:val="18"/>
    </w:rPr>
  </w:style>
  <w:style w:type="character" w:customStyle="1" w:styleId="17">
    <w:name w:val="页脚 Char"/>
    <w:basedOn w:val="10"/>
    <w:link w:val="5"/>
    <w:qFormat/>
    <w:uiPriority w:val="99"/>
    <w:rPr>
      <w:sz w:val="18"/>
      <w:szCs w:val="18"/>
    </w:rPr>
  </w:style>
  <w:style w:type="character" w:customStyle="1" w:styleId="18">
    <w:name w:val="批注框文本 Char"/>
    <w:basedOn w:val="10"/>
    <w:link w:val="4"/>
    <w:semiHidden/>
    <w:qFormat/>
    <w:uiPriority w:val="99"/>
    <w:rPr>
      <w:kern w:val="2"/>
      <w:sz w:val="18"/>
      <w:szCs w:val="18"/>
    </w:rPr>
  </w:style>
  <w:style w:type="character" w:customStyle="1" w:styleId="19">
    <w:name w:val="脚注文本 Char"/>
    <w:basedOn w:val="10"/>
    <w:link w:val="7"/>
    <w:semiHidden/>
    <w:qFormat/>
    <w:uiPriority w:val="99"/>
    <w:rPr>
      <w:rFonts w:asciiTheme="minorHAnsi" w:hAnsiTheme="minorHAnsi" w:eastAsiaTheme="minorEastAsia" w:cstheme="minorBidi"/>
      <w:kern w:val="2"/>
      <w:sz w:val="18"/>
      <w:szCs w:val="18"/>
    </w:rPr>
  </w:style>
  <w:style w:type="character" w:customStyle="1" w:styleId="20">
    <w:name w:val="尾注文本 Char"/>
    <w:basedOn w:val="10"/>
    <w:link w:val="3"/>
    <w:semiHidden/>
    <w:qFormat/>
    <w:uiPriority w:val="99"/>
    <w:rPr>
      <w:rFonts w:asciiTheme="minorHAnsi" w:hAnsiTheme="minorHAnsi" w:eastAsiaTheme="minorEastAsia" w:cstheme="minorBidi"/>
      <w:kern w:val="2"/>
      <w:sz w:val="21"/>
      <w:szCs w:val="22"/>
    </w:rPr>
  </w:style>
  <w:style w:type="character" w:customStyle="1" w:styleId="21">
    <w:name w:val="批注文字 Char"/>
    <w:basedOn w:val="10"/>
    <w:link w:val="2"/>
    <w:semiHidden/>
    <w:qFormat/>
    <w:uiPriority w:val="99"/>
    <w:rPr>
      <w:rFonts w:asciiTheme="minorHAnsi" w:hAnsiTheme="minorHAnsi" w:eastAsiaTheme="minorEastAsia" w:cstheme="minorBidi"/>
      <w:kern w:val="2"/>
      <w:sz w:val="21"/>
      <w:szCs w:val="22"/>
    </w:rPr>
  </w:style>
  <w:style w:type="character" w:customStyle="1" w:styleId="22">
    <w:name w:val="批注主题 Char"/>
    <w:basedOn w:val="21"/>
    <w:link w:val="8"/>
    <w:semiHidden/>
    <w:qFormat/>
    <w:uiPriority w:val="99"/>
    <w:rPr>
      <w:rFonts w:asciiTheme="minorHAnsi" w:hAnsiTheme="minorHAnsi" w:eastAsiaTheme="minorEastAsia" w:cstheme="minorBidi"/>
      <w:b/>
      <w:bCs/>
      <w:kern w:val="2"/>
      <w:sz w:val="2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958</Words>
  <Characters>993</Characters>
  <Lines>7</Lines>
  <Paragraphs>2</Paragraphs>
  <TotalTime>0</TotalTime>
  <ScaleCrop>false</ScaleCrop>
  <LinksUpToDate>false</LinksUpToDate>
  <CharactersWithSpaces>994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2020-12-12T09:22:00Z</dcterms:created>
  <dc:creator>PC</dc:creator>
  <cp:lastModifiedBy>user</cp:lastModifiedBy>
  <dcterms:modified xsi:type="dcterms:W3CDTF">2022-06-20T15:42:23Z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6354D929C5B448E49C0243072DA0E921</vt:lpwstr>
  </property>
</Properties>
</file>