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cs="方正仿宋简体"/>
          <w:sz w:val="32"/>
          <w:szCs w:val="32"/>
        </w:rPr>
      </w:pPr>
      <w:r>
        <w:rPr>
          <w:rFonts w:hint="eastAsia" w:ascii="方正小标宋简体" w:hAnsi="仿宋" w:eastAsia="方正小标宋简体" w:cs="方正仿宋简体"/>
          <w:color w:val="000000"/>
          <w:sz w:val="32"/>
          <w:szCs w:val="32"/>
        </w:rPr>
        <w:t>沈阳市流通领域</w:t>
      </w:r>
      <w:bookmarkStart w:id="0" w:name="_GoBack"/>
      <w:bookmarkEnd w:id="0"/>
      <w:r>
        <w:rPr>
          <w:rFonts w:hint="eastAsia" w:ascii="方正小标宋简体" w:hAnsi="仿宋" w:eastAsia="方正小标宋简体" w:cs="方正仿宋简体"/>
          <w:color w:val="000000"/>
          <w:sz w:val="32"/>
          <w:szCs w:val="32"/>
        </w:rPr>
        <w:t>灭火器产品质量监督抽查实施细则</w:t>
      </w:r>
    </w:p>
    <w:p>
      <w:pPr>
        <w:snapToGrid w:val="0"/>
        <w:spacing w:line="440" w:lineRule="exact"/>
        <w:rPr>
          <w:rFonts w:eastAsia="黑体"/>
          <w:szCs w:val="21"/>
        </w:rPr>
      </w:pPr>
    </w:p>
    <w:p>
      <w:pPr>
        <w:snapToGrid w:val="0"/>
        <w:spacing w:line="440" w:lineRule="exact"/>
        <w:rPr>
          <w:rFonts w:eastAsia="黑体"/>
          <w:szCs w:val="21"/>
        </w:rPr>
      </w:pPr>
      <w:r>
        <w:rPr>
          <w:rFonts w:eastAsia="黑体"/>
          <w:szCs w:val="21"/>
        </w:rPr>
        <w:t>1 抽样方法</w:t>
      </w:r>
    </w:p>
    <w:p>
      <w:pPr>
        <w:snapToGrid w:val="0"/>
        <w:spacing w:line="440" w:lineRule="exact"/>
        <w:ind w:firstLine="420" w:firstLineChars="200"/>
        <w:rPr>
          <w:szCs w:val="21"/>
        </w:rPr>
      </w:pPr>
      <w:r>
        <w:rPr>
          <w:szCs w:val="21"/>
        </w:rPr>
        <w:t>以随机抽样的方式在被抽样</w:t>
      </w:r>
      <w:r>
        <w:rPr>
          <w:rFonts w:hint="eastAsia"/>
          <w:szCs w:val="21"/>
        </w:rPr>
        <w:t>销售</w:t>
      </w:r>
      <w:r>
        <w:rPr>
          <w:szCs w:val="21"/>
        </w:rPr>
        <w:t>者的待销产品中抽取。</w:t>
      </w:r>
    </w:p>
    <w:p>
      <w:pPr>
        <w:snapToGrid w:val="0"/>
        <w:spacing w:line="440" w:lineRule="exact"/>
        <w:ind w:firstLine="420" w:firstLineChars="200"/>
        <w:rPr>
          <w:szCs w:val="21"/>
        </w:rPr>
      </w:pPr>
      <w:r>
        <w:rPr>
          <w:rFonts w:hint="eastAsia"/>
          <w:szCs w:val="21"/>
        </w:rPr>
        <w:t>随机数一般可使用随机数表、骰子或扑克牌等方法产生。</w:t>
      </w:r>
    </w:p>
    <w:p>
      <w:pPr>
        <w:snapToGrid w:val="0"/>
        <w:spacing w:line="440" w:lineRule="exact"/>
        <w:ind w:firstLine="420" w:firstLineChars="200"/>
        <w:rPr>
          <w:szCs w:val="21"/>
        </w:rPr>
      </w:pPr>
      <w:r>
        <w:rPr>
          <w:rFonts w:hint="eastAsia"/>
          <w:szCs w:val="21"/>
        </w:rPr>
        <w:t>手提式灭火器产品抽样的数量为4具，其中2具作为检验样品、2具作为备用样品。</w:t>
      </w:r>
    </w:p>
    <w:p>
      <w:pPr>
        <w:snapToGrid w:val="0"/>
        <w:spacing w:line="440" w:lineRule="exact"/>
        <w:rPr>
          <w:rFonts w:hint="eastAsia" w:eastAsia="黑体"/>
          <w:szCs w:val="21"/>
        </w:rPr>
      </w:pPr>
    </w:p>
    <w:p>
      <w:pPr>
        <w:snapToGrid w:val="0"/>
        <w:spacing w:line="440" w:lineRule="exact"/>
        <w:rPr>
          <w:rFonts w:hint="eastAsia" w:eastAsia="黑体"/>
          <w:szCs w:val="21"/>
        </w:rPr>
      </w:pPr>
      <w:r>
        <w:rPr>
          <w:rFonts w:hint="eastAsia" w:eastAsia="黑体"/>
          <w:szCs w:val="21"/>
        </w:rPr>
        <w:t>2检验依据</w:t>
      </w:r>
    </w:p>
    <w:p>
      <w:pPr>
        <w:snapToGrid w:val="0"/>
        <w:spacing w:line="440" w:lineRule="exact"/>
        <w:jc w:val="center"/>
        <w:rPr>
          <w:rFonts w:hint="eastAsia" w:ascii="宋体" w:hAnsi="宋体"/>
          <w:color w:val="auto"/>
          <w:szCs w:val="21"/>
          <w:highlight w:val="none"/>
        </w:rPr>
      </w:pPr>
      <w:r>
        <w:rPr>
          <w:rFonts w:hint="eastAsia" w:ascii="宋体" w:hAnsi="宋体"/>
          <w:color w:val="auto"/>
          <w:szCs w:val="21"/>
          <w:highlight w:val="none"/>
        </w:rPr>
        <w:t>表</w:t>
      </w:r>
      <w:r>
        <w:rPr>
          <w:rFonts w:hint="eastAsia" w:ascii="宋体" w:hAnsi="宋体"/>
          <w:color w:val="auto"/>
          <w:szCs w:val="21"/>
          <w:highlight w:val="none"/>
          <w:lang w:val="en-US" w:eastAsia="zh-CN"/>
        </w:rPr>
        <w:t>1</w:t>
      </w:r>
      <w:r>
        <w:rPr>
          <w:rFonts w:hint="eastAsia" w:ascii="宋体" w:hAnsi="宋体"/>
          <w:color w:val="auto"/>
          <w:szCs w:val="21"/>
          <w:highlight w:val="none"/>
        </w:rPr>
        <w:t xml:space="preserve">  检验项目</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5438"/>
        <w:gridCol w:w="2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96" w:type="dxa"/>
            <w:vAlign w:val="center"/>
          </w:tcPr>
          <w:p>
            <w:pPr>
              <w:spacing w:line="440" w:lineRule="exact"/>
              <w:jc w:val="center"/>
              <w:textAlignment w:val="center"/>
              <w:rPr>
                <w:szCs w:val="21"/>
              </w:rPr>
            </w:pPr>
            <w:r>
              <w:t>序号</w:t>
            </w:r>
          </w:p>
        </w:tc>
        <w:tc>
          <w:tcPr>
            <w:tcW w:w="5438" w:type="dxa"/>
            <w:vAlign w:val="center"/>
          </w:tcPr>
          <w:p>
            <w:pPr>
              <w:spacing w:line="440" w:lineRule="exact"/>
              <w:jc w:val="center"/>
              <w:textAlignment w:val="center"/>
              <w:rPr>
                <w:szCs w:val="21"/>
              </w:rPr>
            </w:pPr>
            <w:r>
              <w:t>检验项目</w:t>
            </w:r>
          </w:p>
        </w:tc>
        <w:tc>
          <w:tcPr>
            <w:tcW w:w="2600" w:type="dxa"/>
            <w:vAlign w:val="center"/>
          </w:tcPr>
          <w:p>
            <w:pPr>
              <w:spacing w:line="440" w:lineRule="exact"/>
              <w:jc w:val="center"/>
              <w:textAlignment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96" w:type="dxa"/>
            <w:vAlign w:val="center"/>
          </w:tcPr>
          <w:p>
            <w:pPr>
              <w:spacing w:line="440" w:lineRule="exact"/>
              <w:jc w:val="center"/>
              <w:textAlignment w:val="center"/>
            </w:pPr>
            <w:r>
              <w:rPr>
                <w:rFonts w:hint="eastAsia"/>
              </w:rPr>
              <w:t>1</w:t>
            </w:r>
          </w:p>
        </w:tc>
        <w:tc>
          <w:tcPr>
            <w:tcW w:w="5438" w:type="dxa"/>
            <w:vAlign w:val="center"/>
          </w:tcPr>
          <w:p>
            <w:pPr>
              <w:spacing w:line="440" w:lineRule="exact"/>
              <w:jc w:val="center"/>
              <w:textAlignment w:val="center"/>
            </w:pPr>
            <w:r>
              <w:rPr>
                <w:rFonts w:hint="eastAsia"/>
              </w:rPr>
              <w:t>外观及结构检查</w:t>
            </w:r>
          </w:p>
        </w:tc>
        <w:tc>
          <w:tcPr>
            <w:tcW w:w="2600" w:type="dxa"/>
            <w:vAlign w:val="center"/>
          </w:tcPr>
          <w:p>
            <w:pPr>
              <w:spacing w:line="440" w:lineRule="exact"/>
              <w:jc w:val="center"/>
              <w:textAlignment w:val="center"/>
              <w:rPr>
                <w:szCs w:val="21"/>
              </w:rPr>
            </w:pPr>
            <w:r>
              <w:rPr>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96" w:type="dxa"/>
            <w:vAlign w:val="center"/>
          </w:tcPr>
          <w:p>
            <w:pPr>
              <w:spacing w:line="440" w:lineRule="exact"/>
              <w:jc w:val="center"/>
              <w:textAlignment w:val="center"/>
            </w:pPr>
            <w:r>
              <w:rPr>
                <w:rFonts w:hint="eastAsia"/>
              </w:rPr>
              <w:t>2</w:t>
            </w:r>
          </w:p>
        </w:tc>
        <w:tc>
          <w:tcPr>
            <w:tcW w:w="5438" w:type="dxa"/>
            <w:vAlign w:val="center"/>
          </w:tcPr>
          <w:p>
            <w:pPr>
              <w:spacing w:line="440" w:lineRule="exact"/>
              <w:jc w:val="center"/>
              <w:textAlignment w:val="center"/>
            </w:pPr>
            <w:r>
              <w:rPr>
                <w:rFonts w:hint="eastAsia"/>
              </w:rPr>
              <w:t>操作力试验（保险解脱力）</w:t>
            </w:r>
          </w:p>
        </w:tc>
        <w:tc>
          <w:tcPr>
            <w:tcW w:w="2600" w:type="dxa"/>
            <w:vAlign w:val="center"/>
          </w:tcPr>
          <w:p>
            <w:pPr>
              <w:spacing w:line="440" w:lineRule="exact"/>
              <w:jc w:val="center"/>
              <w:textAlignment w:val="center"/>
              <w:rPr>
                <w:szCs w:val="21"/>
              </w:rPr>
            </w:pPr>
            <w:r>
              <w:rPr>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796" w:type="dxa"/>
            <w:vAlign w:val="center"/>
          </w:tcPr>
          <w:p>
            <w:pPr>
              <w:spacing w:line="440" w:lineRule="exact"/>
              <w:jc w:val="center"/>
              <w:textAlignment w:val="center"/>
            </w:pPr>
            <w:r>
              <w:rPr>
                <w:rFonts w:hint="eastAsia"/>
              </w:rPr>
              <w:t>3</w:t>
            </w:r>
          </w:p>
        </w:tc>
        <w:tc>
          <w:tcPr>
            <w:tcW w:w="5438" w:type="dxa"/>
            <w:vAlign w:val="center"/>
          </w:tcPr>
          <w:p>
            <w:pPr>
              <w:spacing w:line="440" w:lineRule="exact"/>
              <w:jc w:val="center"/>
              <w:textAlignment w:val="center"/>
            </w:pPr>
            <w:r>
              <w:rPr>
                <w:rFonts w:hint="eastAsia"/>
              </w:rPr>
              <w:t>20℃喷射性能</w:t>
            </w:r>
          </w:p>
        </w:tc>
        <w:tc>
          <w:tcPr>
            <w:tcW w:w="2600" w:type="dxa"/>
            <w:vAlign w:val="center"/>
          </w:tcPr>
          <w:p>
            <w:pPr>
              <w:spacing w:line="440" w:lineRule="exact"/>
              <w:jc w:val="center"/>
              <w:textAlignment w:val="center"/>
              <w:rPr>
                <w:szCs w:val="21"/>
              </w:rPr>
            </w:pPr>
            <w:r>
              <w:rPr>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96" w:type="dxa"/>
            <w:vAlign w:val="center"/>
          </w:tcPr>
          <w:p>
            <w:pPr>
              <w:spacing w:line="440" w:lineRule="exact"/>
              <w:jc w:val="center"/>
              <w:textAlignment w:val="center"/>
            </w:pPr>
            <w:r>
              <w:rPr>
                <w:rFonts w:hint="eastAsia"/>
              </w:rPr>
              <w:t>4</w:t>
            </w:r>
          </w:p>
        </w:tc>
        <w:tc>
          <w:tcPr>
            <w:tcW w:w="5438" w:type="dxa"/>
            <w:vAlign w:val="center"/>
          </w:tcPr>
          <w:p>
            <w:pPr>
              <w:spacing w:line="440" w:lineRule="exact"/>
              <w:jc w:val="center"/>
              <w:textAlignment w:val="center"/>
            </w:pPr>
            <w:r>
              <w:rPr>
                <w:rFonts w:hint="eastAsia"/>
              </w:rPr>
              <w:t>灭火剂充装量检查</w:t>
            </w:r>
          </w:p>
        </w:tc>
        <w:tc>
          <w:tcPr>
            <w:tcW w:w="2600" w:type="dxa"/>
            <w:vAlign w:val="center"/>
          </w:tcPr>
          <w:p>
            <w:pPr>
              <w:spacing w:line="440" w:lineRule="exact"/>
              <w:jc w:val="center"/>
              <w:textAlignment w:val="center"/>
              <w:rPr>
                <w:szCs w:val="21"/>
              </w:rPr>
            </w:pPr>
            <w:r>
              <w:rPr>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96" w:type="dxa"/>
            <w:vAlign w:val="center"/>
          </w:tcPr>
          <w:p>
            <w:pPr>
              <w:spacing w:line="440" w:lineRule="exact"/>
              <w:jc w:val="center"/>
              <w:textAlignment w:val="center"/>
            </w:pPr>
            <w:r>
              <w:rPr>
                <w:rFonts w:hint="eastAsia"/>
              </w:rPr>
              <w:t>5</w:t>
            </w:r>
          </w:p>
        </w:tc>
        <w:tc>
          <w:tcPr>
            <w:tcW w:w="5438" w:type="dxa"/>
            <w:vAlign w:val="center"/>
          </w:tcPr>
          <w:p>
            <w:pPr>
              <w:spacing w:line="440" w:lineRule="exact"/>
              <w:jc w:val="center"/>
              <w:textAlignment w:val="center"/>
            </w:pPr>
            <w:r>
              <w:rPr>
                <w:rFonts w:hint="eastAsia"/>
              </w:rPr>
              <w:t>水压试验</w:t>
            </w:r>
          </w:p>
        </w:tc>
        <w:tc>
          <w:tcPr>
            <w:tcW w:w="2600" w:type="dxa"/>
            <w:vAlign w:val="center"/>
          </w:tcPr>
          <w:p>
            <w:pPr>
              <w:spacing w:line="440" w:lineRule="exact"/>
              <w:jc w:val="center"/>
              <w:textAlignment w:val="center"/>
              <w:rPr>
                <w:szCs w:val="21"/>
              </w:rPr>
            </w:pPr>
            <w:r>
              <w:rPr>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96" w:type="dxa"/>
            <w:vAlign w:val="center"/>
          </w:tcPr>
          <w:p>
            <w:pPr>
              <w:spacing w:line="440" w:lineRule="exact"/>
              <w:jc w:val="center"/>
              <w:textAlignment w:val="center"/>
            </w:pPr>
            <w:r>
              <w:rPr>
                <w:rFonts w:hint="eastAsia"/>
              </w:rPr>
              <w:t>6</w:t>
            </w:r>
          </w:p>
        </w:tc>
        <w:tc>
          <w:tcPr>
            <w:tcW w:w="5438" w:type="dxa"/>
            <w:vAlign w:val="center"/>
          </w:tcPr>
          <w:p>
            <w:pPr>
              <w:spacing w:line="440" w:lineRule="exact"/>
              <w:jc w:val="center"/>
              <w:textAlignment w:val="center"/>
            </w:pPr>
            <w:r>
              <w:rPr>
                <w:rFonts w:hint="eastAsia"/>
              </w:rPr>
              <w:t>爆破试验</w:t>
            </w:r>
          </w:p>
        </w:tc>
        <w:tc>
          <w:tcPr>
            <w:tcW w:w="2600" w:type="dxa"/>
            <w:vAlign w:val="center"/>
          </w:tcPr>
          <w:p>
            <w:pPr>
              <w:spacing w:line="440" w:lineRule="exact"/>
              <w:jc w:val="center"/>
              <w:textAlignment w:val="center"/>
              <w:rPr>
                <w:szCs w:val="21"/>
              </w:rPr>
            </w:pPr>
            <w:r>
              <w:rPr>
                <w:szCs w:val="21"/>
              </w:rPr>
              <w:t>GB4351.1-2005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796" w:type="dxa"/>
            <w:vAlign w:val="center"/>
          </w:tcPr>
          <w:p>
            <w:pPr>
              <w:spacing w:line="440" w:lineRule="exact"/>
              <w:jc w:val="center"/>
              <w:textAlignment w:val="center"/>
            </w:pPr>
            <w:r>
              <w:rPr>
                <w:rFonts w:hint="eastAsia"/>
              </w:rPr>
              <w:t>7</w:t>
            </w:r>
          </w:p>
        </w:tc>
        <w:tc>
          <w:tcPr>
            <w:tcW w:w="5438" w:type="dxa"/>
            <w:vAlign w:val="center"/>
          </w:tcPr>
          <w:p>
            <w:pPr>
              <w:spacing w:line="440" w:lineRule="exact"/>
              <w:jc w:val="center"/>
              <w:textAlignment w:val="center"/>
            </w:pPr>
            <w:r>
              <w:rPr>
                <w:rFonts w:hint="eastAsia"/>
              </w:rPr>
              <w:t>灭火剂质量检验（磷酸二氢铵含量）（适用时）</w:t>
            </w:r>
          </w:p>
        </w:tc>
        <w:tc>
          <w:tcPr>
            <w:tcW w:w="2600" w:type="dxa"/>
            <w:vAlign w:val="center"/>
          </w:tcPr>
          <w:p>
            <w:pPr>
              <w:spacing w:line="440" w:lineRule="exact"/>
              <w:jc w:val="center"/>
              <w:textAlignment w:val="center"/>
              <w:rPr>
                <w:szCs w:val="21"/>
              </w:rPr>
            </w:pPr>
            <w:r>
              <w:rPr>
                <w:szCs w:val="21"/>
              </w:rPr>
              <w:t>GB4066-2017</w:t>
            </w:r>
          </w:p>
        </w:tc>
      </w:tr>
    </w:tbl>
    <w:p>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pacing w:line="440" w:lineRule="exact"/>
        <w:rPr>
          <w:rFonts w:eastAsia="黑体"/>
          <w:szCs w:val="21"/>
        </w:rPr>
      </w:pPr>
    </w:p>
    <w:p>
      <w:pPr>
        <w:spacing w:line="440" w:lineRule="exact"/>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rFonts w:hint="eastAsia"/>
          <w:szCs w:val="21"/>
        </w:rPr>
        <w:t>GB 4351.1-2005   手提式灭火器第1部分：性能和结构要求</w:t>
      </w:r>
    </w:p>
    <w:p>
      <w:pPr>
        <w:snapToGrid w:val="0"/>
        <w:spacing w:line="440" w:lineRule="exact"/>
        <w:ind w:firstLine="420" w:firstLineChars="200"/>
        <w:rPr>
          <w:szCs w:val="21"/>
        </w:rPr>
      </w:pPr>
      <w:r>
        <w:rPr>
          <w:rFonts w:hint="eastAsia"/>
          <w:szCs w:val="21"/>
        </w:rPr>
        <w:t>GB 4066-2017     干粉灭火剂</w:t>
      </w:r>
    </w:p>
    <w:p>
      <w:pPr>
        <w:snapToGrid w:val="0"/>
        <w:spacing w:line="440" w:lineRule="exact"/>
        <w:ind w:firstLine="420" w:firstLineChars="200"/>
        <w:rPr>
          <w:rFonts w:hint="eastAsia" w:ascii="宋体" w:hAnsi="宋体"/>
          <w:color w:val="000000"/>
          <w:szCs w:val="21"/>
          <w:highlight w:val="none"/>
        </w:rPr>
      </w:pPr>
      <w:r>
        <w:rPr>
          <w:rFonts w:hint="eastAsia" w:ascii="宋体" w:hAnsi="宋体"/>
          <w:color w:val="000000"/>
          <w:szCs w:val="21"/>
          <w:highlight w:val="none"/>
        </w:rPr>
        <w:t>相关的法律、行政法规、部门规章、规范性文件</w:t>
      </w:r>
    </w:p>
    <w:p>
      <w:pPr>
        <w:snapToGrid w:val="0"/>
        <w:spacing w:line="440" w:lineRule="exact"/>
        <w:ind w:firstLine="420" w:firstLineChars="200"/>
        <w:rPr>
          <w:rFonts w:hint="eastAsia" w:ascii="宋体" w:hAnsi="宋体"/>
          <w:color w:val="000000"/>
          <w:szCs w:val="21"/>
          <w:highlight w:val="none"/>
        </w:rPr>
      </w:pPr>
      <w:r>
        <w:rPr>
          <w:rFonts w:hint="eastAsia" w:ascii="宋体" w:hAnsi="宋体"/>
          <w:color w:val="000000"/>
          <w:szCs w:val="21"/>
          <w:highlight w:val="none"/>
        </w:rPr>
        <w:t>现行有效的企业标准、团体标准、地方标准及产品明示质量要求</w:t>
      </w:r>
    </w:p>
    <w:p>
      <w:pPr>
        <w:snapToGrid w:val="0"/>
        <w:spacing w:line="440" w:lineRule="exact"/>
        <w:rPr>
          <w:rFonts w:ascii="宋体" w:hAnsi="宋体"/>
          <w:color w:val="000000"/>
          <w:szCs w:val="21"/>
          <w:highlight w:val="none"/>
        </w:rPr>
      </w:pPr>
      <w:r>
        <w:rPr>
          <w:rFonts w:hint="eastAsia" w:ascii="宋体" w:hAnsi="宋体"/>
          <w:color w:val="000000"/>
          <w:szCs w:val="21"/>
          <w:highlight w:val="none"/>
        </w:rPr>
        <w:t>3.2判定原则</w:t>
      </w:r>
    </w:p>
    <w:p>
      <w:pPr>
        <w:snapToGrid w:val="0"/>
        <w:spacing w:line="440" w:lineRule="exact"/>
        <w:ind w:firstLine="420" w:firstLineChars="200"/>
        <w:rPr>
          <w:rFonts w:ascii="宋体" w:hAnsi="宋体"/>
          <w:color w:val="000000"/>
          <w:szCs w:val="21"/>
          <w:highlight w:val="none"/>
        </w:rPr>
      </w:pPr>
      <w:r>
        <w:rPr>
          <w:color w:val="000000"/>
          <w:szCs w:val="21"/>
          <w:highlight w:val="none"/>
        </w:rPr>
        <w:t>经检验，检验项目全部合格，判定为被抽查产品</w:t>
      </w:r>
      <w:r>
        <w:rPr>
          <w:rFonts w:hint="eastAsia"/>
          <w:color w:val="000000"/>
          <w:szCs w:val="21"/>
          <w:highlight w:val="none"/>
        </w:rPr>
        <w:t>所检项目未发现不</w:t>
      </w:r>
      <w:r>
        <w:rPr>
          <w:color w:val="000000"/>
          <w:szCs w:val="21"/>
          <w:highlight w:val="none"/>
        </w:rPr>
        <w:t>合格；检验项目中任一项或一项以上不合格，判定为被抽查产品不合格。</w:t>
      </w:r>
    </w:p>
    <w:p>
      <w:pPr>
        <w:snapToGrid w:val="0"/>
        <w:spacing w:line="440" w:lineRule="exact"/>
        <w:ind w:firstLine="417" w:firstLineChars="199"/>
        <w:rPr>
          <w:rFonts w:ascii="宋体" w:hAnsi="宋体"/>
          <w:color w:val="000000"/>
          <w:szCs w:val="21"/>
          <w:highlight w:val="none"/>
        </w:rPr>
      </w:pPr>
      <w:r>
        <w:rPr>
          <w:rFonts w:hint="eastAsia" w:ascii="宋体" w:hAnsi="宋体"/>
          <w:color w:val="000000"/>
          <w:szCs w:val="21"/>
          <w:highlight w:val="none"/>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highlight w:val="none"/>
        </w:rPr>
      </w:pPr>
      <w:r>
        <w:rPr>
          <w:rFonts w:hint="eastAsia" w:ascii="宋体" w:hAnsi="宋体"/>
          <w:color w:val="000000"/>
          <w:szCs w:val="21"/>
          <w:highlight w:val="none"/>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highlight w:val="none"/>
        </w:rPr>
      </w:pPr>
      <w:r>
        <w:rPr>
          <w:rFonts w:hint="eastAsia" w:ascii="宋体" w:hAnsi="宋体"/>
          <w:color w:val="000000"/>
          <w:szCs w:val="21"/>
          <w:highlight w:val="none"/>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highlight w:val="none"/>
        </w:rPr>
      </w:pPr>
      <w:r>
        <w:rPr>
          <w:rFonts w:hint="eastAsia" w:ascii="宋体" w:hAnsi="宋体"/>
          <w:color w:val="000000"/>
          <w:szCs w:val="21"/>
          <w:highlight w:val="none"/>
        </w:rPr>
        <w:t>若被检产品明示的质量要求缺少本细则中检验项目依据的强制性标准要求时，应按照强制性标准要求判定。</w:t>
      </w:r>
    </w:p>
    <w:p>
      <w:pPr>
        <w:snapToGrid w:val="0"/>
        <w:spacing w:line="440" w:lineRule="exact"/>
        <w:ind w:firstLine="417" w:firstLineChars="199"/>
      </w:pPr>
      <w:r>
        <w:rPr>
          <w:rFonts w:hint="eastAsia" w:ascii="宋体" w:hAnsi="宋体"/>
          <w:color w:val="000000"/>
          <w:szCs w:val="21"/>
          <w:highlight w:val="none"/>
        </w:rPr>
        <w:t>若被检产品明示的质量要求缺少本细则中检验项目依据的推荐性标准要求时，该项目不参与判定。</w:t>
      </w:r>
    </w:p>
    <w:sectPr>
      <w:footerReference r:id="rId3"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方正仿宋简体">
    <w:altName w:val="方正仿宋_GBK"/>
    <w:panose1 w:val="00000000000000000000"/>
    <w:charset w:val="86"/>
    <w:family w:val="auto"/>
    <w:pitch w:val="default"/>
    <w:sig w:usb0="00000000" w:usb1="00000000" w:usb2="00000010" w:usb3="00000000" w:csb0="00040000" w:csb1="00000000"/>
  </w:font>
  <w:font w:name="仿宋">
    <w:altName w:val="方正仿宋_GBK"/>
    <w:panose1 w:val="02010600040101010101"/>
    <w:charset w:val="86"/>
    <w:family w:val="modern"/>
    <w:pitch w:val="default"/>
    <w:sig w:usb0="00000000" w:usb1="00000000" w:usb2="00000016" w:usb3="00000000" w:csb0="6002009F" w:csb1="DFD7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g1NTI4ODM4MmU5MjE5ZGQ5ZDNkMWFmOWM2YzQ2YjYifQ=="/>
  </w:docVars>
  <w:rsids>
    <w:rsidRoot w:val="00CE7A3C"/>
    <w:rsid w:val="00056A1B"/>
    <w:rsid w:val="000858BC"/>
    <w:rsid w:val="000B4268"/>
    <w:rsid w:val="000E06EF"/>
    <w:rsid w:val="00152127"/>
    <w:rsid w:val="00160A40"/>
    <w:rsid w:val="0016744D"/>
    <w:rsid w:val="00183DF2"/>
    <w:rsid w:val="001C2963"/>
    <w:rsid w:val="00217F92"/>
    <w:rsid w:val="002A00BD"/>
    <w:rsid w:val="002B5BE9"/>
    <w:rsid w:val="003226D8"/>
    <w:rsid w:val="003740BF"/>
    <w:rsid w:val="00385221"/>
    <w:rsid w:val="003E2406"/>
    <w:rsid w:val="003F22E4"/>
    <w:rsid w:val="003F55F3"/>
    <w:rsid w:val="004443C7"/>
    <w:rsid w:val="00464003"/>
    <w:rsid w:val="00464765"/>
    <w:rsid w:val="004D4755"/>
    <w:rsid w:val="004E32A4"/>
    <w:rsid w:val="004F0AB8"/>
    <w:rsid w:val="0050022B"/>
    <w:rsid w:val="0056090F"/>
    <w:rsid w:val="00564F31"/>
    <w:rsid w:val="005650CA"/>
    <w:rsid w:val="005E78DD"/>
    <w:rsid w:val="006148ED"/>
    <w:rsid w:val="006167E6"/>
    <w:rsid w:val="00620F2A"/>
    <w:rsid w:val="006364BA"/>
    <w:rsid w:val="00693892"/>
    <w:rsid w:val="006A59B8"/>
    <w:rsid w:val="006D083D"/>
    <w:rsid w:val="00727D45"/>
    <w:rsid w:val="00732B06"/>
    <w:rsid w:val="00742AD4"/>
    <w:rsid w:val="007553A7"/>
    <w:rsid w:val="00784947"/>
    <w:rsid w:val="00784ECC"/>
    <w:rsid w:val="0079079B"/>
    <w:rsid w:val="007923F2"/>
    <w:rsid w:val="007A264F"/>
    <w:rsid w:val="007B1223"/>
    <w:rsid w:val="007C4E2B"/>
    <w:rsid w:val="008160BE"/>
    <w:rsid w:val="0082105A"/>
    <w:rsid w:val="00851B1A"/>
    <w:rsid w:val="008A175D"/>
    <w:rsid w:val="008B7736"/>
    <w:rsid w:val="008D5233"/>
    <w:rsid w:val="008E2605"/>
    <w:rsid w:val="0094651A"/>
    <w:rsid w:val="009631D3"/>
    <w:rsid w:val="009D136D"/>
    <w:rsid w:val="009E3134"/>
    <w:rsid w:val="009F4383"/>
    <w:rsid w:val="00A63F91"/>
    <w:rsid w:val="00A86C22"/>
    <w:rsid w:val="00AC4C6B"/>
    <w:rsid w:val="00AC5B64"/>
    <w:rsid w:val="00AD3EBB"/>
    <w:rsid w:val="00AE7467"/>
    <w:rsid w:val="00B47D30"/>
    <w:rsid w:val="00B5765C"/>
    <w:rsid w:val="00BA2BCF"/>
    <w:rsid w:val="00BB473C"/>
    <w:rsid w:val="00BC539B"/>
    <w:rsid w:val="00BE6108"/>
    <w:rsid w:val="00C124F2"/>
    <w:rsid w:val="00C765EA"/>
    <w:rsid w:val="00C832B4"/>
    <w:rsid w:val="00C959A2"/>
    <w:rsid w:val="00CB4CFA"/>
    <w:rsid w:val="00CC3433"/>
    <w:rsid w:val="00CD0567"/>
    <w:rsid w:val="00CE7A3C"/>
    <w:rsid w:val="00D11AB1"/>
    <w:rsid w:val="00D41FDC"/>
    <w:rsid w:val="00D56532"/>
    <w:rsid w:val="00D860AC"/>
    <w:rsid w:val="00DA2AEF"/>
    <w:rsid w:val="00DB4433"/>
    <w:rsid w:val="00DE27E4"/>
    <w:rsid w:val="00E22690"/>
    <w:rsid w:val="00E26B56"/>
    <w:rsid w:val="00E771BA"/>
    <w:rsid w:val="00E81CDA"/>
    <w:rsid w:val="00EC602B"/>
    <w:rsid w:val="00ED0F75"/>
    <w:rsid w:val="00F1617D"/>
    <w:rsid w:val="00F35FF2"/>
    <w:rsid w:val="00F806BC"/>
    <w:rsid w:val="00FA474F"/>
    <w:rsid w:val="00FC626B"/>
    <w:rsid w:val="00FD5903"/>
    <w:rsid w:val="07BF2917"/>
    <w:rsid w:val="0A7C6F3F"/>
    <w:rsid w:val="0C7524DA"/>
    <w:rsid w:val="14BC550F"/>
    <w:rsid w:val="150243CF"/>
    <w:rsid w:val="183D15CD"/>
    <w:rsid w:val="22C439A8"/>
    <w:rsid w:val="232259B1"/>
    <w:rsid w:val="25F63A90"/>
    <w:rsid w:val="2EBD4E5E"/>
    <w:rsid w:val="33935754"/>
    <w:rsid w:val="4166035D"/>
    <w:rsid w:val="42910561"/>
    <w:rsid w:val="438E1DC6"/>
    <w:rsid w:val="46EC695D"/>
    <w:rsid w:val="495F0FDE"/>
    <w:rsid w:val="4F4677F4"/>
    <w:rsid w:val="51D41E84"/>
    <w:rsid w:val="575368DE"/>
    <w:rsid w:val="5BA54263"/>
    <w:rsid w:val="66567E48"/>
    <w:rsid w:val="67C52C48"/>
    <w:rsid w:val="6AF21B11"/>
    <w:rsid w:val="6E7039B0"/>
    <w:rsid w:val="7B710DFB"/>
    <w:rsid w:val="FDEE5D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0"/>
    <w:rPr>
      <w:sz w:val="18"/>
      <w:szCs w:val="18"/>
    </w:rPr>
  </w:style>
  <w:style w:type="character" w:customStyle="1" w:styleId="14">
    <w:name w:val="批注框文本 Char"/>
    <w:basedOn w:val="9"/>
    <w:link w:val="3"/>
    <w:semiHidden/>
    <w:qFormat/>
    <w:uiPriority w:val="99"/>
    <w:rPr>
      <w:rFonts w:ascii="Times New Roman" w:hAnsi="Times New Roman" w:eastAsia="宋体" w:cs="Times New Roman"/>
      <w:kern w:val="2"/>
      <w:sz w:val="18"/>
      <w:szCs w:val="18"/>
    </w:rPr>
  </w:style>
  <w:style w:type="character" w:customStyle="1" w:styleId="15">
    <w:name w:val="批注文字 Char"/>
    <w:basedOn w:val="9"/>
    <w:link w:val="2"/>
    <w:semiHidden/>
    <w:qFormat/>
    <w:uiPriority w:val="99"/>
    <w:rPr>
      <w:rFonts w:ascii="Times New Roman" w:hAnsi="Times New Roman" w:eastAsia="宋体" w:cs="Times New Roman"/>
      <w:kern w:val="2"/>
      <w:sz w:val="21"/>
      <w:szCs w:val="24"/>
    </w:rPr>
  </w:style>
  <w:style w:type="character" w:customStyle="1" w:styleId="16">
    <w:name w:val="批注主题 Char"/>
    <w:basedOn w:val="15"/>
    <w:link w:val="6"/>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677</Words>
  <Characters>784</Characters>
  <Lines>6</Lines>
  <Paragraphs>1</Paragraphs>
  <TotalTime>1</TotalTime>
  <ScaleCrop>false</ScaleCrop>
  <LinksUpToDate>false</LinksUpToDate>
  <CharactersWithSpaces>796</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user</cp:lastModifiedBy>
  <cp:lastPrinted>2020-03-09T12:05:00Z</cp:lastPrinted>
  <dcterms:modified xsi:type="dcterms:W3CDTF">2022-06-20T10:15:33Z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C638B4D56A724EEBA99BB3C1BC9CFE18</vt:lpwstr>
  </property>
</Properties>
</file>