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s="方正仿宋简体"/>
          <w:sz w:val="32"/>
          <w:szCs w:val="32"/>
        </w:rPr>
      </w:pPr>
      <w:r>
        <w:rPr>
          <w:rFonts w:hint="eastAsia" w:eastAsia="方正小标宋简体" w:cs="方正仿宋简体"/>
          <w:sz w:val="32"/>
          <w:szCs w:val="32"/>
        </w:rPr>
        <w:t>沈阳市流通领域</w:t>
      </w:r>
      <w:bookmarkStart w:id="0" w:name="_GoBack"/>
      <w:bookmarkEnd w:id="0"/>
      <w:r>
        <w:rPr>
          <w:rFonts w:hint="eastAsia" w:eastAsia="方正小标宋简体" w:cs="方正仿宋简体"/>
          <w:sz w:val="32"/>
          <w:szCs w:val="32"/>
        </w:rPr>
        <w:t>消防应急灯具产品质量监督抽查实施细则</w:t>
      </w:r>
    </w:p>
    <w:p>
      <w:pPr>
        <w:snapToGrid w:val="0"/>
        <w:spacing w:line="440" w:lineRule="exact"/>
        <w:rPr>
          <w:rFonts w:eastAsia="黑体"/>
          <w:szCs w:val="21"/>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w:t>
      </w:r>
      <w:r>
        <w:rPr>
          <w:rFonts w:hint="eastAsia"/>
          <w:szCs w:val="21"/>
        </w:rPr>
        <w:t>销售</w:t>
      </w:r>
      <w:r>
        <w:rPr>
          <w:szCs w:val="21"/>
        </w:rPr>
        <w:t>者的待销产品中抽取。</w:t>
      </w:r>
    </w:p>
    <w:p>
      <w:pPr>
        <w:snapToGrid w:val="0"/>
        <w:spacing w:line="440" w:lineRule="exact"/>
        <w:ind w:firstLine="420" w:firstLineChars="200"/>
        <w:rPr>
          <w:rFonts w:hint="eastAsia"/>
          <w:szCs w:val="21"/>
        </w:rPr>
      </w:pPr>
      <w:r>
        <w:rPr>
          <w:rFonts w:hint="eastAsia"/>
          <w:szCs w:val="21"/>
        </w:rPr>
        <w:t>随机数一般可使用随机数表、骰子或扑克牌等方法产生。</w:t>
      </w:r>
    </w:p>
    <w:p>
      <w:pPr>
        <w:snapToGrid w:val="0"/>
        <w:spacing w:line="440" w:lineRule="exact"/>
        <w:ind w:firstLine="420" w:firstLineChars="200"/>
        <w:rPr>
          <w:szCs w:val="21"/>
        </w:rPr>
      </w:pPr>
      <w:r>
        <w:rPr>
          <w:rFonts w:hint="eastAsia"/>
          <w:szCs w:val="21"/>
        </w:rPr>
        <w:t>消防应急灯具产品抽样的数量为4个，其中2个作为检验样品、2个作为备用样品。</w:t>
      </w:r>
    </w:p>
    <w:p>
      <w:pPr>
        <w:snapToGrid w:val="0"/>
        <w:spacing w:line="440" w:lineRule="exact"/>
        <w:rPr>
          <w:rFonts w:hint="eastAsia" w:eastAsia="黑体"/>
          <w:szCs w:val="21"/>
        </w:rPr>
      </w:pPr>
    </w:p>
    <w:p>
      <w:pPr>
        <w:snapToGrid w:val="0"/>
        <w:spacing w:line="440" w:lineRule="exact"/>
        <w:rPr>
          <w:rFonts w:hint="eastAsia" w:eastAsia="黑体"/>
          <w:szCs w:val="21"/>
        </w:rPr>
      </w:pPr>
      <w:r>
        <w:rPr>
          <w:rFonts w:hint="eastAsia" w:eastAsia="黑体"/>
          <w:szCs w:val="21"/>
        </w:rPr>
        <w:t>2检验依据</w:t>
      </w:r>
    </w:p>
    <w:p>
      <w:pPr>
        <w:snapToGrid w:val="0"/>
        <w:spacing w:line="440" w:lineRule="exact"/>
        <w:jc w:val="center"/>
        <w:rPr>
          <w:rFonts w:hint="eastAsia" w:ascii="宋体" w:hAnsi="宋体"/>
          <w:color w:val="auto"/>
          <w:szCs w:val="21"/>
          <w:highlight w:val="none"/>
        </w:rPr>
      </w:pPr>
      <w:r>
        <w:rPr>
          <w:rFonts w:hint="eastAsia" w:ascii="宋体" w:hAnsi="宋体"/>
          <w:color w:val="auto"/>
          <w:szCs w:val="21"/>
          <w:highlight w:val="none"/>
        </w:rPr>
        <w:t>表</w:t>
      </w:r>
      <w:r>
        <w:rPr>
          <w:rFonts w:hint="eastAsia" w:ascii="宋体" w:hAnsi="宋体"/>
          <w:color w:val="auto"/>
          <w:szCs w:val="21"/>
          <w:highlight w:val="none"/>
          <w:lang w:val="en-US" w:eastAsia="zh-CN"/>
        </w:rPr>
        <w:t>1</w:t>
      </w:r>
      <w:r>
        <w:rPr>
          <w:rFonts w:hint="eastAsia" w:ascii="宋体" w:hAnsi="宋体"/>
          <w:color w:val="auto"/>
          <w:szCs w:val="21"/>
          <w:highlight w:val="none"/>
        </w:rPr>
        <w:t xml:space="preserve">  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4356"/>
        <w:gridCol w:w="2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rPr>
                <w:szCs w:val="21"/>
              </w:rPr>
            </w:pPr>
            <w:r>
              <w:t>序号</w:t>
            </w:r>
          </w:p>
        </w:tc>
        <w:tc>
          <w:tcPr>
            <w:tcW w:w="4356" w:type="dxa"/>
            <w:vAlign w:val="center"/>
          </w:tcPr>
          <w:p>
            <w:pPr>
              <w:spacing w:line="440" w:lineRule="exact"/>
              <w:jc w:val="center"/>
              <w:textAlignment w:val="center"/>
              <w:rPr>
                <w:szCs w:val="21"/>
              </w:rPr>
            </w:pPr>
            <w:r>
              <w:t>检验项目</w:t>
            </w:r>
          </w:p>
        </w:tc>
        <w:tc>
          <w:tcPr>
            <w:tcW w:w="2979" w:type="dxa"/>
            <w:vAlign w:val="center"/>
          </w:tcPr>
          <w:p>
            <w:pPr>
              <w:spacing w:line="440" w:lineRule="exact"/>
              <w:jc w:val="center"/>
              <w:textAlignment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1</w:t>
            </w:r>
          </w:p>
        </w:tc>
        <w:tc>
          <w:tcPr>
            <w:tcW w:w="4356" w:type="dxa"/>
            <w:vAlign w:val="center"/>
          </w:tcPr>
          <w:p>
            <w:pPr>
              <w:spacing w:line="440" w:lineRule="exact"/>
              <w:jc w:val="center"/>
              <w:textAlignment w:val="center"/>
            </w:pPr>
            <w:r>
              <w:rPr>
                <w:rFonts w:hint="eastAsia"/>
              </w:rPr>
              <w:t>一般要求(表面亮度/光通量)</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2</w:t>
            </w:r>
          </w:p>
        </w:tc>
        <w:tc>
          <w:tcPr>
            <w:tcW w:w="4356" w:type="dxa"/>
            <w:vAlign w:val="center"/>
          </w:tcPr>
          <w:p>
            <w:pPr>
              <w:spacing w:line="440" w:lineRule="exact"/>
              <w:jc w:val="center"/>
              <w:textAlignment w:val="center"/>
            </w:pPr>
            <w:r>
              <w:rPr>
                <w:rFonts w:hint="eastAsia"/>
              </w:rPr>
              <w:t>一般要求(应急工作时间)</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96" w:type="dxa"/>
            <w:vAlign w:val="center"/>
          </w:tcPr>
          <w:p>
            <w:pPr>
              <w:spacing w:line="440" w:lineRule="exact"/>
              <w:jc w:val="center"/>
              <w:textAlignment w:val="center"/>
            </w:pPr>
            <w:r>
              <w:rPr>
                <w:rFonts w:hint="eastAsia"/>
              </w:rPr>
              <w:t>3</w:t>
            </w:r>
          </w:p>
        </w:tc>
        <w:tc>
          <w:tcPr>
            <w:tcW w:w="4356" w:type="dxa"/>
            <w:vAlign w:val="center"/>
          </w:tcPr>
          <w:p>
            <w:pPr>
              <w:spacing w:line="440" w:lineRule="exact"/>
              <w:jc w:val="center"/>
              <w:textAlignment w:val="center"/>
            </w:pPr>
            <w:r>
              <w:rPr>
                <w:rFonts w:hint="eastAsia"/>
              </w:rPr>
              <w:t>性能试验</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4</w:t>
            </w:r>
          </w:p>
        </w:tc>
        <w:tc>
          <w:tcPr>
            <w:tcW w:w="4356" w:type="dxa"/>
            <w:vAlign w:val="center"/>
          </w:tcPr>
          <w:p>
            <w:pPr>
              <w:spacing w:line="440" w:lineRule="exact"/>
              <w:jc w:val="center"/>
              <w:textAlignment w:val="center"/>
            </w:pPr>
            <w:r>
              <w:rPr>
                <w:rFonts w:hint="eastAsia"/>
              </w:rPr>
              <w:t>充放电性能</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5</w:t>
            </w:r>
          </w:p>
        </w:tc>
        <w:tc>
          <w:tcPr>
            <w:tcW w:w="4356" w:type="dxa"/>
            <w:vAlign w:val="center"/>
          </w:tcPr>
          <w:p>
            <w:pPr>
              <w:spacing w:line="440" w:lineRule="exact"/>
              <w:jc w:val="center"/>
              <w:textAlignment w:val="center"/>
            </w:pPr>
            <w:r>
              <w:rPr>
                <w:rFonts w:hint="eastAsia"/>
              </w:rPr>
              <w:t>转换电压性能</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6</w:t>
            </w:r>
          </w:p>
        </w:tc>
        <w:tc>
          <w:tcPr>
            <w:tcW w:w="4356" w:type="dxa"/>
            <w:vAlign w:val="center"/>
          </w:tcPr>
          <w:p>
            <w:pPr>
              <w:spacing w:line="440" w:lineRule="exact"/>
              <w:jc w:val="center"/>
              <w:textAlignment w:val="center"/>
            </w:pPr>
            <w:r>
              <w:rPr>
                <w:rFonts w:hint="eastAsia"/>
              </w:rPr>
              <w:t>充、放电耐久性能</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96" w:type="dxa"/>
            <w:vAlign w:val="center"/>
          </w:tcPr>
          <w:p>
            <w:pPr>
              <w:spacing w:line="440" w:lineRule="exact"/>
              <w:jc w:val="center"/>
              <w:textAlignment w:val="center"/>
            </w:pPr>
            <w:r>
              <w:rPr>
                <w:rFonts w:hint="eastAsia"/>
              </w:rPr>
              <w:t>7</w:t>
            </w:r>
          </w:p>
        </w:tc>
        <w:tc>
          <w:tcPr>
            <w:tcW w:w="4356" w:type="dxa"/>
            <w:vAlign w:val="center"/>
          </w:tcPr>
          <w:p>
            <w:pPr>
              <w:spacing w:line="440" w:lineRule="exact"/>
              <w:jc w:val="center"/>
              <w:textAlignment w:val="center"/>
            </w:pPr>
            <w:r>
              <w:rPr>
                <w:rFonts w:hint="eastAsia"/>
              </w:rPr>
              <w:t>接地电阻试验</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8</w:t>
            </w:r>
          </w:p>
        </w:tc>
        <w:tc>
          <w:tcPr>
            <w:tcW w:w="4356" w:type="dxa"/>
            <w:vAlign w:val="center"/>
          </w:tcPr>
          <w:p>
            <w:pPr>
              <w:spacing w:line="440" w:lineRule="exact"/>
              <w:jc w:val="center"/>
              <w:textAlignment w:val="center"/>
            </w:pPr>
            <w:r>
              <w:rPr>
                <w:rFonts w:hint="eastAsia"/>
              </w:rPr>
              <w:t>耐压性能</w:t>
            </w:r>
          </w:p>
        </w:tc>
        <w:tc>
          <w:tcPr>
            <w:tcW w:w="2979" w:type="dxa"/>
            <w:vAlign w:val="center"/>
          </w:tcPr>
          <w:p>
            <w:pPr>
              <w:spacing w:line="440" w:lineRule="exact"/>
              <w:jc w:val="center"/>
              <w:textAlignment w:val="center"/>
              <w:rPr>
                <w:szCs w:val="21"/>
              </w:rPr>
            </w:pPr>
            <w:r>
              <w:rPr>
                <w:szCs w:val="21"/>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6" w:type="dxa"/>
            <w:vAlign w:val="center"/>
          </w:tcPr>
          <w:p>
            <w:pPr>
              <w:spacing w:line="440" w:lineRule="exact"/>
              <w:jc w:val="center"/>
              <w:textAlignment w:val="center"/>
            </w:pPr>
            <w:r>
              <w:rPr>
                <w:rFonts w:hint="eastAsia"/>
              </w:rPr>
              <w:t>9</w:t>
            </w:r>
          </w:p>
        </w:tc>
        <w:tc>
          <w:tcPr>
            <w:tcW w:w="4356" w:type="dxa"/>
            <w:vAlign w:val="center"/>
          </w:tcPr>
          <w:p>
            <w:pPr>
              <w:spacing w:line="440" w:lineRule="exact"/>
              <w:jc w:val="center"/>
              <w:textAlignment w:val="center"/>
            </w:pPr>
            <w:r>
              <w:rPr>
                <w:rFonts w:hint="eastAsia"/>
              </w:rPr>
              <w:t>防护等级</w:t>
            </w:r>
          </w:p>
        </w:tc>
        <w:tc>
          <w:tcPr>
            <w:tcW w:w="2979" w:type="dxa"/>
            <w:vAlign w:val="center"/>
          </w:tcPr>
          <w:p>
            <w:pPr>
              <w:spacing w:line="440" w:lineRule="exact"/>
              <w:jc w:val="center"/>
              <w:textAlignment w:val="center"/>
              <w:rPr>
                <w:szCs w:val="21"/>
              </w:rPr>
            </w:pPr>
            <w:r>
              <w:rPr>
                <w:szCs w:val="21"/>
              </w:rPr>
              <w:t>GB/T 4208-2017</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pacing w:line="440" w:lineRule="exact"/>
        <w:rPr>
          <w:rFonts w:eastAsia="黑体"/>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GB 17945-2010</w:t>
      </w:r>
      <w:r>
        <w:rPr>
          <w:rFonts w:hint="eastAsia"/>
          <w:szCs w:val="21"/>
        </w:rPr>
        <w:t xml:space="preserve">    消防应急照明和疏散指示系统</w:t>
      </w:r>
    </w:p>
    <w:p>
      <w:pPr>
        <w:snapToGrid w:val="0"/>
        <w:spacing w:line="440" w:lineRule="exact"/>
        <w:ind w:firstLine="420" w:firstLineChars="200"/>
        <w:rPr>
          <w:szCs w:val="21"/>
        </w:rPr>
      </w:pPr>
      <w:r>
        <w:rPr>
          <w:szCs w:val="21"/>
        </w:rPr>
        <w:t>GB/T 4208-2017</w:t>
      </w:r>
      <w:r>
        <w:rPr>
          <w:rFonts w:hint="eastAsia"/>
          <w:szCs w:val="21"/>
        </w:rPr>
        <w:t xml:space="preserve">   外壳防护等级（IP代码）</w:t>
      </w:r>
    </w:p>
    <w:p>
      <w:pPr>
        <w:snapToGrid w:val="0"/>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相关的法律、行政法规、部门规章、规范性文件</w:t>
      </w:r>
    </w:p>
    <w:p>
      <w:pPr>
        <w:snapToGrid w:val="0"/>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现行有效的企业标准、团体标准、地方标准及产品明示质量要求</w:t>
      </w:r>
    </w:p>
    <w:p>
      <w:pPr>
        <w:snapToGrid w:val="0"/>
        <w:spacing w:line="440" w:lineRule="exact"/>
        <w:rPr>
          <w:rFonts w:ascii="宋体" w:hAnsi="宋体"/>
          <w:color w:val="000000"/>
          <w:szCs w:val="21"/>
          <w:highlight w:val="none"/>
        </w:rPr>
      </w:pPr>
      <w:r>
        <w:rPr>
          <w:rFonts w:hint="eastAsia" w:ascii="宋体" w:hAnsi="宋体"/>
          <w:color w:val="000000"/>
          <w:szCs w:val="21"/>
          <w:highlight w:val="none"/>
        </w:rPr>
        <w:t>3.2判定原则</w:t>
      </w:r>
    </w:p>
    <w:p>
      <w:pPr>
        <w:snapToGrid w:val="0"/>
        <w:spacing w:line="440" w:lineRule="exact"/>
        <w:ind w:firstLine="420" w:firstLineChars="200"/>
        <w:rPr>
          <w:rFonts w:ascii="宋体" w:hAnsi="宋体"/>
          <w:color w:val="000000"/>
          <w:szCs w:val="21"/>
          <w:highlight w:val="none"/>
        </w:rPr>
      </w:pPr>
      <w:r>
        <w:rPr>
          <w:color w:val="000000"/>
          <w:szCs w:val="21"/>
          <w:highlight w:val="none"/>
        </w:rPr>
        <w:t>经检验，检验项目全部合格，判定为被抽查产品</w:t>
      </w:r>
      <w:r>
        <w:rPr>
          <w:rFonts w:hint="eastAsia"/>
          <w:color w:val="000000"/>
          <w:szCs w:val="21"/>
          <w:highlight w:val="none"/>
        </w:rPr>
        <w:t>所检项目未发现不</w:t>
      </w:r>
      <w:r>
        <w:rPr>
          <w:color w:val="000000"/>
          <w:szCs w:val="21"/>
          <w:highlight w:val="none"/>
        </w:rPr>
        <w:t>合格；检验项目中任一项或一项以上不合格，判定为被抽查产品不合格。</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highlight w:val="none"/>
        </w:rPr>
        <w:t>若被检产品明示的质量要求缺少本细则中检验项目依据的推荐性标准要求时，该项目不参与判定。</w:t>
      </w:r>
    </w:p>
    <w:sectPr>
      <w:footerReference r:id="rId3"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CE7A3C"/>
    <w:rsid w:val="00002E9B"/>
    <w:rsid w:val="000858BC"/>
    <w:rsid w:val="00097E8A"/>
    <w:rsid w:val="00152127"/>
    <w:rsid w:val="00160A40"/>
    <w:rsid w:val="0016744D"/>
    <w:rsid w:val="00183DF2"/>
    <w:rsid w:val="001F7792"/>
    <w:rsid w:val="0028066B"/>
    <w:rsid w:val="00292E90"/>
    <w:rsid w:val="002A00BD"/>
    <w:rsid w:val="003226D8"/>
    <w:rsid w:val="003740BF"/>
    <w:rsid w:val="00385221"/>
    <w:rsid w:val="003E2406"/>
    <w:rsid w:val="003F22E4"/>
    <w:rsid w:val="003F55F3"/>
    <w:rsid w:val="00416215"/>
    <w:rsid w:val="004443C7"/>
    <w:rsid w:val="00464003"/>
    <w:rsid w:val="00464765"/>
    <w:rsid w:val="004D4755"/>
    <w:rsid w:val="004F0AB8"/>
    <w:rsid w:val="00504511"/>
    <w:rsid w:val="0056090F"/>
    <w:rsid w:val="00564F31"/>
    <w:rsid w:val="005650CA"/>
    <w:rsid w:val="005E78DD"/>
    <w:rsid w:val="006167E6"/>
    <w:rsid w:val="00693892"/>
    <w:rsid w:val="006A59B8"/>
    <w:rsid w:val="006D083D"/>
    <w:rsid w:val="007207F6"/>
    <w:rsid w:val="00727D45"/>
    <w:rsid w:val="00732B06"/>
    <w:rsid w:val="00742DBC"/>
    <w:rsid w:val="00784947"/>
    <w:rsid w:val="00784ECC"/>
    <w:rsid w:val="0079079B"/>
    <w:rsid w:val="007923F2"/>
    <w:rsid w:val="007A264F"/>
    <w:rsid w:val="0081531E"/>
    <w:rsid w:val="0082105A"/>
    <w:rsid w:val="00851B1A"/>
    <w:rsid w:val="008B7736"/>
    <w:rsid w:val="008E2605"/>
    <w:rsid w:val="0094651A"/>
    <w:rsid w:val="009D136D"/>
    <w:rsid w:val="009E3134"/>
    <w:rsid w:val="009E4BE0"/>
    <w:rsid w:val="00A63F91"/>
    <w:rsid w:val="00A86C22"/>
    <w:rsid w:val="00AA0A52"/>
    <w:rsid w:val="00AC4C6B"/>
    <w:rsid w:val="00AC5B64"/>
    <w:rsid w:val="00AD3EBB"/>
    <w:rsid w:val="00AE7467"/>
    <w:rsid w:val="00B5765C"/>
    <w:rsid w:val="00B74713"/>
    <w:rsid w:val="00BA2BCF"/>
    <w:rsid w:val="00BB473C"/>
    <w:rsid w:val="00C124F2"/>
    <w:rsid w:val="00C765EA"/>
    <w:rsid w:val="00C959A2"/>
    <w:rsid w:val="00CB4CFA"/>
    <w:rsid w:val="00CC3433"/>
    <w:rsid w:val="00CD0567"/>
    <w:rsid w:val="00CE7A3C"/>
    <w:rsid w:val="00D11AB1"/>
    <w:rsid w:val="00D860AC"/>
    <w:rsid w:val="00DA2AEF"/>
    <w:rsid w:val="00DB1F5E"/>
    <w:rsid w:val="00DB4433"/>
    <w:rsid w:val="00DE27E4"/>
    <w:rsid w:val="00E159C7"/>
    <w:rsid w:val="00E26B56"/>
    <w:rsid w:val="00E771BA"/>
    <w:rsid w:val="00E81CDA"/>
    <w:rsid w:val="00EA1974"/>
    <w:rsid w:val="00EC3087"/>
    <w:rsid w:val="00EC602B"/>
    <w:rsid w:val="00ED0F75"/>
    <w:rsid w:val="00F1617D"/>
    <w:rsid w:val="00F1716B"/>
    <w:rsid w:val="00F35FF2"/>
    <w:rsid w:val="00F806BC"/>
    <w:rsid w:val="00FA474F"/>
    <w:rsid w:val="00FC626B"/>
    <w:rsid w:val="00FD5903"/>
    <w:rsid w:val="0A7C6F3F"/>
    <w:rsid w:val="0C7524DA"/>
    <w:rsid w:val="14BC550F"/>
    <w:rsid w:val="150243CF"/>
    <w:rsid w:val="183D15CD"/>
    <w:rsid w:val="22C439A8"/>
    <w:rsid w:val="232259B1"/>
    <w:rsid w:val="25F63A90"/>
    <w:rsid w:val="2EBD4E5E"/>
    <w:rsid w:val="33935754"/>
    <w:rsid w:val="3BB8691F"/>
    <w:rsid w:val="4166035D"/>
    <w:rsid w:val="42910561"/>
    <w:rsid w:val="438E1DC6"/>
    <w:rsid w:val="46EC695D"/>
    <w:rsid w:val="495F0FDE"/>
    <w:rsid w:val="4F4677F4"/>
    <w:rsid w:val="51D41E84"/>
    <w:rsid w:val="575368DE"/>
    <w:rsid w:val="5BA54263"/>
    <w:rsid w:val="66567E48"/>
    <w:rsid w:val="67C52C48"/>
    <w:rsid w:val="6AF21B11"/>
    <w:rsid w:val="6E7039B0"/>
    <w:rsid w:val="74D5157D"/>
    <w:rsid w:val="7B710DFB"/>
    <w:rsid w:val="7FFABE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0"/>
    <w:rPr>
      <w:sz w:val="18"/>
      <w:szCs w:val="18"/>
    </w:rPr>
  </w:style>
  <w:style w:type="character" w:customStyle="1" w:styleId="14">
    <w:name w:val="批注框文本 Char"/>
    <w:basedOn w:val="9"/>
    <w:link w:val="3"/>
    <w:semiHidden/>
    <w:qFormat/>
    <w:uiPriority w:val="99"/>
    <w:rPr>
      <w:rFonts w:ascii="Times New Roman" w:hAnsi="Times New Roman" w:eastAsia="宋体" w:cs="Times New Roman"/>
      <w:kern w:val="2"/>
      <w:sz w:val="18"/>
      <w:szCs w:val="18"/>
    </w:rPr>
  </w:style>
  <w:style w:type="character" w:customStyle="1" w:styleId="15">
    <w:name w:val="批注文字 Char"/>
    <w:basedOn w:val="9"/>
    <w:link w:val="2"/>
    <w:semiHidden/>
    <w:qFormat/>
    <w:uiPriority w:val="99"/>
    <w:rPr>
      <w:rFonts w:ascii="Times New Roman" w:hAnsi="Times New Roman" w:eastAsia="宋体" w:cs="Times New Roman"/>
      <w:kern w:val="2"/>
      <w:sz w:val="21"/>
      <w:szCs w:val="24"/>
    </w:rPr>
  </w:style>
  <w:style w:type="character" w:customStyle="1" w:styleId="16">
    <w:name w:val="批注主题 Char"/>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695</Words>
  <Characters>812</Characters>
  <Lines>6</Lines>
  <Paragraphs>1</Paragraphs>
  <TotalTime>0</TotalTime>
  <ScaleCrop>false</ScaleCrop>
  <LinksUpToDate>false</LinksUpToDate>
  <CharactersWithSpaces>832</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user</cp:lastModifiedBy>
  <cp:lastPrinted>2020-03-09T12:05:00Z</cp:lastPrinted>
  <dcterms:modified xsi:type="dcterms:W3CDTF">2022-06-20T10:15:51Z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7D530D68F7944A108B1D152D7DDC6B74</vt:lpwstr>
  </property>
</Properties>
</file>