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outlineLvl w:val="9"/>
        <w:rPr>
          <w:rFonts w:hint="eastAsia" w:ascii="Times New Roman" w:hAnsi="Times New Roman" w:eastAsia="方正小标宋简体" w:cs="方正仿宋简体"/>
          <w:sz w:val="32"/>
          <w:szCs w:val="32"/>
        </w:rPr>
      </w:pPr>
    </w:p>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outlineLvl w:val="9"/>
        <w:rPr>
          <w:rFonts w:ascii="Times New Roman" w:hAnsi="Times New Roman" w:eastAsia="方正小标宋简体" w:cs="方正仿宋简体"/>
          <w:sz w:val="32"/>
          <w:szCs w:val="32"/>
        </w:rPr>
      </w:pPr>
      <w:r>
        <w:rPr>
          <w:rFonts w:hint="eastAsia" w:ascii="Times New Roman" w:hAnsi="Times New Roman" w:eastAsia="方正小标宋简体" w:cs="方正仿宋简体"/>
          <w:sz w:val="32"/>
          <w:szCs w:val="32"/>
        </w:rPr>
        <w:t>沈阳市可燃气体探测器产品质量</w:t>
      </w:r>
      <w:bookmarkStart w:id="0" w:name="_GoBack"/>
      <w:bookmarkEnd w:id="0"/>
      <w:r>
        <w:rPr>
          <w:rFonts w:hint="eastAsia" w:ascii="Times New Roman" w:hAnsi="Times New Roman" w:eastAsia="方正小标宋简体" w:cs="方正仿宋简体"/>
          <w:sz w:val="32"/>
          <w:szCs w:val="32"/>
        </w:rPr>
        <w:t>监督抽查实施细则</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359" w:firstLineChars="171"/>
        <w:outlineLvl w:val="9"/>
        <w:rPr>
          <w:rFonts w:ascii="Times New Roman" w:hAnsi="Times New Roman"/>
          <w:szCs w:val="21"/>
        </w:rPr>
      </w:pPr>
    </w:p>
    <w:p>
      <w:pPr>
        <w:keepNext w:val="0"/>
        <w:keepLines w:val="0"/>
        <w:pageBreakBefore w:val="0"/>
        <w:kinsoku/>
        <w:wordWrap/>
        <w:overflowPunct/>
        <w:topLinePunct w:val="0"/>
        <w:autoSpaceDE/>
        <w:autoSpaceDN/>
        <w:bidi w:val="0"/>
        <w:adjustRightInd/>
        <w:snapToGrid w:val="0"/>
        <w:spacing w:line="440" w:lineRule="exact"/>
        <w:ind w:left="0" w:leftChars="0" w:right="0" w:rightChars="0"/>
        <w:outlineLvl w:val="9"/>
        <w:rPr>
          <w:rFonts w:ascii="Times New Roman" w:hAnsi="Times New Roman" w:eastAsia="黑体"/>
          <w:szCs w:val="21"/>
        </w:rPr>
      </w:pPr>
      <w:r>
        <w:rPr>
          <w:rFonts w:hint="eastAsia" w:ascii="Times New Roman" w:hAnsi="Times New Roman" w:eastAsia="黑体"/>
          <w:szCs w:val="21"/>
        </w:rPr>
        <w:t>1 抽样方法</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outlineLvl w:val="9"/>
        <w:rPr>
          <w:rFonts w:ascii="Times New Roman" w:hAnsi="Times New Roman"/>
          <w:szCs w:val="21"/>
        </w:rPr>
      </w:pPr>
      <w:r>
        <w:rPr>
          <w:rFonts w:hint="eastAsia" w:ascii="Times New Roman" w:hAnsi="Times New Roman"/>
          <w:szCs w:val="21"/>
        </w:rPr>
        <w:t>以随机抽样的方式在被抽样</w:t>
      </w:r>
      <w:r>
        <w:rPr>
          <w:rFonts w:hint="eastAsia" w:ascii="Times New Roman" w:hAnsi="Times New Roman"/>
          <w:color w:val="000000"/>
          <w:szCs w:val="21"/>
        </w:rPr>
        <w:t>生产者、销售者</w:t>
      </w:r>
      <w:r>
        <w:rPr>
          <w:rFonts w:hint="eastAsia" w:ascii="Times New Roman" w:hAnsi="Times New Roman"/>
          <w:szCs w:val="21"/>
        </w:rPr>
        <w:t>的待销产品中抽取。</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outlineLvl w:val="9"/>
        <w:rPr>
          <w:rFonts w:ascii="Times New Roman" w:hAnsi="Times New Roman"/>
          <w:szCs w:val="21"/>
        </w:rPr>
      </w:pPr>
      <w:r>
        <w:rPr>
          <w:rFonts w:hint="eastAsia" w:ascii="Times New Roman" w:hAnsi="Times New Roman"/>
          <w:szCs w:val="21"/>
        </w:rPr>
        <w:t>随机数一般可使用随机数表等方法产生。</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outlineLvl w:val="9"/>
        <w:rPr>
          <w:rFonts w:ascii="Times New Roman" w:hAnsi="Times New Roman"/>
          <w:szCs w:val="21"/>
        </w:rPr>
      </w:pPr>
      <w:r>
        <w:rPr>
          <w:rFonts w:hint="eastAsia" w:ascii="Times New Roman" w:hAnsi="Times New Roman"/>
          <w:szCs w:val="21"/>
        </w:rPr>
        <w:t>每批次产品抽取样品4台，其中</w:t>
      </w:r>
      <w:r>
        <w:rPr>
          <w:rFonts w:ascii="Times New Roman" w:hAnsi="Times New Roman"/>
          <w:szCs w:val="21"/>
        </w:rPr>
        <w:t>2</w:t>
      </w:r>
      <w:r>
        <w:rPr>
          <w:rFonts w:hint="eastAsia" w:ascii="Times New Roman" w:hAnsi="Times New Roman"/>
          <w:szCs w:val="21"/>
        </w:rPr>
        <w:t>台作为检验样品，</w:t>
      </w:r>
      <w:r>
        <w:rPr>
          <w:rFonts w:ascii="Times New Roman" w:hAnsi="Times New Roman"/>
          <w:szCs w:val="21"/>
        </w:rPr>
        <w:t>2</w:t>
      </w:r>
      <w:r>
        <w:rPr>
          <w:rFonts w:hint="eastAsia" w:ascii="Times New Roman" w:hAnsi="Times New Roman"/>
          <w:szCs w:val="21"/>
        </w:rPr>
        <w:t>台作为备用样品。</w:t>
      </w:r>
    </w:p>
    <w:p>
      <w:pPr>
        <w:keepNext w:val="0"/>
        <w:keepLines w:val="0"/>
        <w:pageBreakBefore w:val="0"/>
        <w:kinsoku/>
        <w:wordWrap/>
        <w:overflowPunct/>
        <w:topLinePunct w:val="0"/>
        <w:autoSpaceDE/>
        <w:autoSpaceDN/>
        <w:bidi w:val="0"/>
        <w:adjustRightInd/>
        <w:snapToGrid w:val="0"/>
        <w:spacing w:line="440" w:lineRule="exact"/>
        <w:ind w:left="0" w:leftChars="0" w:right="0" w:rightChars="0"/>
        <w:outlineLvl w:val="9"/>
        <w:rPr>
          <w:rFonts w:ascii="Times New Roman" w:hAnsi="Times New Roman" w:eastAsia="黑体"/>
          <w:szCs w:val="21"/>
        </w:rPr>
      </w:pPr>
      <w:r>
        <w:rPr>
          <w:rFonts w:hint="eastAsia" w:ascii="Times New Roman" w:hAnsi="Times New Roman" w:eastAsia="黑体"/>
          <w:szCs w:val="21"/>
        </w:rPr>
        <w:t>2 检验依据</w:t>
      </w:r>
    </w:p>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color w:val="000000"/>
          <w:szCs w:val="21"/>
        </w:rPr>
      </w:pPr>
      <w:r>
        <w:rPr>
          <w:rFonts w:hint="eastAsia" w:ascii="Times New Roman" w:hAnsi="Times New Roman" w:cs="仿宋"/>
          <w:color w:val="000000"/>
          <w:szCs w:val="21"/>
        </w:rPr>
        <w:t xml:space="preserve">表1 </w:t>
      </w:r>
      <w:r>
        <w:rPr>
          <w:rFonts w:hint="eastAsia" w:cs="仿宋"/>
          <w:color w:val="000000"/>
          <w:szCs w:val="21"/>
          <w:lang w:val="en-US" w:eastAsia="zh-CN"/>
        </w:rPr>
        <w:t xml:space="preserve"> </w:t>
      </w:r>
      <w:r>
        <w:rPr>
          <w:rFonts w:hint="eastAsia" w:ascii="Times New Roman" w:hAnsi="Times New Roman" w:cs="仿宋"/>
          <w:color w:val="000000"/>
          <w:szCs w:val="21"/>
        </w:rPr>
        <w:t>工业及商业用途点型可燃气体探测器检验项目</w:t>
      </w:r>
      <w:r>
        <w:rPr>
          <w:rFonts w:hint="eastAsia" w:cs="仿宋"/>
          <w:color w:val="000000"/>
          <w:szCs w:val="21"/>
          <w:lang w:eastAsia="zh-CN"/>
        </w:rPr>
        <w:t>和检验方法</w:t>
      </w:r>
    </w:p>
    <w:tbl>
      <w:tblPr>
        <w:tblStyle w:val="11"/>
        <w:tblW w:w="8902" w:type="dxa"/>
        <w:jc w:val="center"/>
        <w:tblInd w:w="-1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838"/>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序号</w:t>
            </w:r>
          </w:p>
        </w:tc>
        <w:tc>
          <w:tcPr>
            <w:tcW w:w="4838"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检 验 项 目</w:t>
            </w:r>
          </w:p>
        </w:tc>
        <w:tc>
          <w:tcPr>
            <w:tcW w:w="2579"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1</w:t>
            </w:r>
          </w:p>
        </w:tc>
        <w:tc>
          <w:tcPr>
            <w:tcW w:w="4838"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kern w:val="0"/>
                <w:szCs w:val="21"/>
              </w:rPr>
              <w:t>报警动作值</w:t>
            </w:r>
          </w:p>
        </w:tc>
        <w:tc>
          <w:tcPr>
            <w:tcW w:w="2579"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GB 15322.1-2019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2</w:t>
            </w:r>
          </w:p>
        </w:tc>
        <w:tc>
          <w:tcPr>
            <w:tcW w:w="4838"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kern w:val="0"/>
                <w:szCs w:val="21"/>
              </w:rPr>
              <w:t>量程指示偏差</w:t>
            </w:r>
          </w:p>
        </w:tc>
        <w:tc>
          <w:tcPr>
            <w:tcW w:w="2579"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GB 15322.1-2019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3</w:t>
            </w:r>
          </w:p>
        </w:tc>
        <w:tc>
          <w:tcPr>
            <w:tcW w:w="4838"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kern w:val="0"/>
                <w:szCs w:val="21"/>
              </w:rPr>
              <w:t>响应时间</w:t>
            </w:r>
          </w:p>
        </w:tc>
        <w:tc>
          <w:tcPr>
            <w:tcW w:w="2579"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GB 15322.1-2019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4</w:t>
            </w:r>
          </w:p>
        </w:tc>
        <w:tc>
          <w:tcPr>
            <w:tcW w:w="4838"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kern w:val="0"/>
                <w:szCs w:val="21"/>
              </w:rPr>
            </w:pPr>
            <w:r>
              <w:rPr>
                <w:rFonts w:hint="eastAsia" w:ascii="Times New Roman" w:hAnsi="Times New Roman" w:cs="仿宋"/>
                <w:kern w:val="0"/>
                <w:szCs w:val="21"/>
              </w:rPr>
              <w:t>报警重复性</w:t>
            </w:r>
          </w:p>
        </w:tc>
        <w:tc>
          <w:tcPr>
            <w:tcW w:w="2579"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color w:val="000000"/>
                <w:kern w:val="0"/>
                <w:szCs w:val="21"/>
              </w:rPr>
            </w:pPr>
            <w:r>
              <w:rPr>
                <w:rFonts w:hint="eastAsia" w:ascii="Times New Roman" w:hAnsi="Times New Roman" w:cs="仿宋"/>
                <w:color w:val="000000"/>
                <w:kern w:val="0"/>
                <w:szCs w:val="21"/>
              </w:rPr>
              <w:t>GB 15322.1-2019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5</w:t>
            </w:r>
          </w:p>
        </w:tc>
        <w:tc>
          <w:tcPr>
            <w:tcW w:w="4838"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kern w:val="0"/>
                <w:szCs w:val="21"/>
              </w:rPr>
              <w:t>电压波动</w:t>
            </w:r>
          </w:p>
        </w:tc>
        <w:tc>
          <w:tcPr>
            <w:tcW w:w="2579"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GB 15322.1-2019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6</w:t>
            </w:r>
          </w:p>
        </w:tc>
        <w:tc>
          <w:tcPr>
            <w:tcW w:w="4838"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kern w:val="0"/>
                <w:szCs w:val="21"/>
              </w:rPr>
            </w:pPr>
            <w:r>
              <w:rPr>
                <w:rFonts w:hint="eastAsia" w:ascii="Times New Roman" w:hAnsi="Times New Roman" w:cs="仿宋"/>
                <w:kern w:val="0"/>
                <w:szCs w:val="21"/>
              </w:rPr>
              <w:t>绝缘电阻</w:t>
            </w:r>
          </w:p>
        </w:tc>
        <w:tc>
          <w:tcPr>
            <w:tcW w:w="2579"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color w:val="000000"/>
                <w:kern w:val="0"/>
                <w:szCs w:val="21"/>
              </w:rPr>
            </w:pPr>
            <w:r>
              <w:rPr>
                <w:rFonts w:hint="eastAsia" w:ascii="Times New Roman" w:hAnsi="Times New Roman" w:cs="仿宋"/>
                <w:color w:val="000000"/>
                <w:kern w:val="0"/>
                <w:szCs w:val="21"/>
              </w:rPr>
              <w:t>GB 15322.1-2019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7</w:t>
            </w:r>
          </w:p>
        </w:tc>
        <w:tc>
          <w:tcPr>
            <w:tcW w:w="4838" w:type="dxa"/>
            <w:vAlign w:val="center"/>
          </w:tcPr>
          <w:p>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jc w:val="center"/>
              <w:outlineLvl w:val="9"/>
              <w:rPr>
                <w:rFonts w:ascii="Times New Roman" w:hAnsi="Times New Roman"/>
                <w:kern w:val="0"/>
                <w:szCs w:val="21"/>
              </w:rPr>
            </w:pPr>
            <w:r>
              <w:rPr>
                <w:rFonts w:ascii="Times New Roman" w:hAnsi="Times New Roman"/>
                <w:kern w:val="0"/>
                <w:szCs w:val="21"/>
              </w:rPr>
              <w:t>电气强度</w:t>
            </w:r>
          </w:p>
        </w:tc>
        <w:tc>
          <w:tcPr>
            <w:tcW w:w="2579"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rPr>
            </w:pPr>
            <w:r>
              <w:rPr>
                <w:rFonts w:hint="eastAsia" w:ascii="Times New Roman" w:hAnsi="Times New Roman" w:cs="仿宋"/>
                <w:color w:val="000000"/>
                <w:kern w:val="0"/>
                <w:szCs w:val="21"/>
              </w:rPr>
              <w:t>GB 15322.1-2019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8</w:t>
            </w:r>
          </w:p>
        </w:tc>
        <w:tc>
          <w:tcPr>
            <w:tcW w:w="4838"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kern w:val="0"/>
                <w:szCs w:val="21"/>
              </w:rPr>
              <w:t>高温（运行）试验</w:t>
            </w:r>
          </w:p>
        </w:tc>
        <w:tc>
          <w:tcPr>
            <w:tcW w:w="2579"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GB 15322.1-2019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9</w:t>
            </w:r>
          </w:p>
        </w:tc>
        <w:tc>
          <w:tcPr>
            <w:tcW w:w="4838"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kern w:val="0"/>
                <w:szCs w:val="21"/>
              </w:rPr>
              <w:t>低温（运行）试验</w:t>
            </w:r>
          </w:p>
        </w:tc>
        <w:tc>
          <w:tcPr>
            <w:tcW w:w="2579"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color w:val="000000"/>
                <w:kern w:val="0"/>
                <w:szCs w:val="21"/>
              </w:rPr>
            </w:pPr>
            <w:r>
              <w:rPr>
                <w:rFonts w:hint="eastAsia" w:ascii="Times New Roman" w:hAnsi="Times New Roman" w:cs="仿宋"/>
                <w:color w:val="000000"/>
                <w:kern w:val="0"/>
                <w:szCs w:val="21"/>
              </w:rPr>
              <w:t>GB 15322.1-2019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10</w:t>
            </w:r>
          </w:p>
        </w:tc>
        <w:tc>
          <w:tcPr>
            <w:tcW w:w="4838"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kern w:val="0"/>
                <w:szCs w:val="21"/>
              </w:rPr>
              <w:t>恒定湿热（运行）试验</w:t>
            </w:r>
          </w:p>
        </w:tc>
        <w:tc>
          <w:tcPr>
            <w:tcW w:w="2579"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GB 15322.1-2019</w:t>
            </w:r>
          </w:p>
        </w:tc>
      </w:tr>
    </w:tbl>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color w:val="000000"/>
          <w:szCs w:val="21"/>
        </w:rPr>
      </w:pPr>
    </w:p>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color w:val="000000"/>
          <w:szCs w:val="21"/>
        </w:rPr>
      </w:pPr>
      <w:r>
        <w:rPr>
          <w:rFonts w:hint="eastAsia" w:ascii="Times New Roman" w:hAnsi="Times New Roman" w:cs="仿宋"/>
          <w:color w:val="000000"/>
          <w:szCs w:val="21"/>
        </w:rPr>
        <w:t xml:space="preserve">表2 </w:t>
      </w:r>
      <w:r>
        <w:rPr>
          <w:rFonts w:hint="eastAsia" w:cs="仿宋"/>
          <w:color w:val="000000"/>
          <w:szCs w:val="21"/>
          <w:lang w:val="en-US" w:eastAsia="zh-CN"/>
        </w:rPr>
        <w:t xml:space="preserve"> </w:t>
      </w:r>
      <w:r>
        <w:rPr>
          <w:rFonts w:hint="eastAsia" w:ascii="Times New Roman" w:hAnsi="Times New Roman" w:cs="仿宋"/>
          <w:color w:val="000000"/>
          <w:szCs w:val="21"/>
        </w:rPr>
        <w:t>家用可燃气体探测器检验项目</w:t>
      </w:r>
      <w:r>
        <w:rPr>
          <w:rFonts w:hint="eastAsia" w:cs="仿宋"/>
          <w:color w:val="000000"/>
          <w:szCs w:val="21"/>
          <w:lang w:eastAsia="zh-CN"/>
        </w:rPr>
        <w:t>和检验方法</w:t>
      </w:r>
    </w:p>
    <w:tbl>
      <w:tblPr>
        <w:tblStyle w:val="11"/>
        <w:tblW w:w="8854" w:type="dxa"/>
        <w:jc w:val="center"/>
        <w:tblInd w:w="-2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4833"/>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7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序号</w:t>
            </w:r>
          </w:p>
        </w:tc>
        <w:tc>
          <w:tcPr>
            <w:tcW w:w="4833"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检 验 项 目</w:t>
            </w:r>
          </w:p>
        </w:tc>
        <w:tc>
          <w:tcPr>
            <w:tcW w:w="2546"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7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1</w:t>
            </w:r>
          </w:p>
        </w:tc>
        <w:tc>
          <w:tcPr>
            <w:tcW w:w="4833"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kern w:val="0"/>
                <w:szCs w:val="21"/>
              </w:rPr>
              <w:t>报警动作值</w:t>
            </w:r>
          </w:p>
        </w:tc>
        <w:tc>
          <w:tcPr>
            <w:tcW w:w="2546"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szCs w:val="21"/>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7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2</w:t>
            </w:r>
          </w:p>
        </w:tc>
        <w:tc>
          <w:tcPr>
            <w:tcW w:w="4833"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kern w:val="0"/>
                <w:szCs w:val="21"/>
              </w:rPr>
              <w:t>量程指示偏差（适用于具有浓度显示功能的试样）</w:t>
            </w:r>
          </w:p>
        </w:tc>
        <w:tc>
          <w:tcPr>
            <w:tcW w:w="2546"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szCs w:val="21"/>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7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3</w:t>
            </w:r>
          </w:p>
        </w:tc>
        <w:tc>
          <w:tcPr>
            <w:tcW w:w="4833"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kern w:val="0"/>
                <w:szCs w:val="21"/>
              </w:rPr>
              <w:t>响应时间</w:t>
            </w:r>
          </w:p>
        </w:tc>
        <w:tc>
          <w:tcPr>
            <w:tcW w:w="2546"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szCs w:val="21"/>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7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4</w:t>
            </w:r>
          </w:p>
        </w:tc>
        <w:tc>
          <w:tcPr>
            <w:tcW w:w="4833"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kern w:val="0"/>
                <w:szCs w:val="21"/>
              </w:rPr>
              <w:t>报警重复性</w:t>
            </w:r>
          </w:p>
        </w:tc>
        <w:tc>
          <w:tcPr>
            <w:tcW w:w="2546"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szCs w:val="21"/>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7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5</w:t>
            </w:r>
          </w:p>
        </w:tc>
        <w:tc>
          <w:tcPr>
            <w:tcW w:w="4833"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szCs w:val="21"/>
              </w:rPr>
              <w:t>预热期间报警试验</w:t>
            </w:r>
          </w:p>
        </w:tc>
        <w:tc>
          <w:tcPr>
            <w:tcW w:w="2546"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szCs w:val="21"/>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7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6</w:t>
            </w:r>
          </w:p>
        </w:tc>
        <w:tc>
          <w:tcPr>
            <w:tcW w:w="4833"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kern w:val="0"/>
                <w:szCs w:val="21"/>
              </w:rPr>
              <w:t>电压波动（不适用于仅以电池供电的试样）</w:t>
            </w:r>
          </w:p>
        </w:tc>
        <w:tc>
          <w:tcPr>
            <w:tcW w:w="2546"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szCs w:val="21"/>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7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7</w:t>
            </w:r>
          </w:p>
        </w:tc>
        <w:tc>
          <w:tcPr>
            <w:tcW w:w="4833"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szCs w:val="21"/>
              </w:rPr>
              <w:t>绝缘电阻</w:t>
            </w:r>
          </w:p>
        </w:tc>
        <w:tc>
          <w:tcPr>
            <w:tcW w:w="2546"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szCs w:val="21"/>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7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8</w:t>
            </w:r>
          </w:p>
        </w:tc>
        <w:tc>
          <w:tcPr>
            <w:tcW w:w="4833" w:type="dxa"/>
            <w:vAlign w:val="center"/>
          </w:tcPr>
          <w:p>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jc w:val="center"/>
              <w:outlineLvl w:val="9"/>
              <w:rPr>
                <w:rFonts w:ascii="Times New Roman" w:hAnsi="Times New Roman"/>
                <w:kern w:val="0"/>
                <w:szCs w:val="21"/>
              </w:rPr>
            </w:pPr>
            <w:r>
              <w:rPr>
                <w:rFonts w:ascii="Times New Roman" w:hAnsi="Times New Roman"/>
                <w:kern w:val="0"/>
                <w:szCs w:val="21"/>
              </w:rPr>
              <w:t>电气强度</w:t>
            </w:r>
          </w:p>
        </w:tc>
        <w:tc>
          <w:tcPr>
            <w:tcW w:w="2546"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rPr>
            </w:pPr>
            <w:r>
              <w:rPr>
                <w:rFonts w:hint="eastAsia" w:ascii="Times New Roman" w:hAnsi="Times New Roman" w:cs="仿宋"/>
                <w:szCs w:val="21"/>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7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9</w:t>
            </w:r>
          </w:p>
        </w:tc>
        <w:tc>
          <w:tcPr>
            <w:tcW w:w="4833"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kern w:val="0"/>
                <w:szCs w:val="21"/>
              </w:rPr>
              <w:t>高温（运行）试验</w:t>
            </w:r>
          </w:p>
        </w:tc>
        <w:tc>
          <w:tcPr>
            <w:tcW w:w="2546"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szCs w:val="21"/>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7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10</w:t>
            </w:r>
          </w:p>
        </w:tc>
        <w:tc>
          <w:tcPr>
            <w:tcW w:w="4833"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kern w:val="0"/>
                <w:szCs w:val="21"/>
              </w:rPr>
              <w:t>低温（运行）试验</w:t>
            </w:r>
          </w:p>
        </w:tc>
        <w:tc>
          <w:tcPr>
            <w:tcW w:w="2546"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szCs w:val="21"/>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7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11</w:t>
            </w:r>
          </w:p>
        </w:tc>
        <w:tc>
          <w:tcPr>
            <w:tcW w:w="4833"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kern w:val="0"/>
                <w:szCs w:val="21"/>
              </w:rPr>
              <w:t>恒定湿热（运行）试验</w:t>
            </w:r>
          </w:p>
        </w:tc>
        <w:tc>
          <w:tcPr>
            <w:tcW w:w="2546"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szCs w:val="21"/>
              </w:rPr>
              <w:t>GB 15322.2-2019</w:t>
            </w:r>
          </w:p>
        </w:tc>
      </w:tr>
    </w:tbl>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color w:val="000000"/>
          <w:szCs w:val="21"/>
        </w:rPr>
      </w:pPr>
    </w:p>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color w:val="000000"/>
          <w:szCs w:val="21"/>
        </w:rPr>
      </w:pPr>
      <w:r>
        <w:rPr>
          <w:rFonts w:hint="eastAsia" w:ascii="Times New Roman" w:hAnsi="Times New Roman" w:cs="仿宋"/>
          <w:color w:val="000000"/>
          <w:szCs w:val="21"/>
        </w:rPr>
        <w:t xml:space="preserve">表3 </w:t>
      </w:r>
      <w:r>
        <w:rPr>
          <w:rFonts w:hint="eastAsia" w:cs="仿宋"/>
          <w:color w:val="000000"/>
          <w:szCs w:val="21"/>
          <w:lang w:val="en-US" w:eastAsia="zh-CN"/>
        </w:rPr>
        <w:t xml:space="preserve"> </w:t>
      </w:r>
      <w:r>
        <w:rPr>
          <w:rFonts w:hint="eastAsia" w:ascii="Times New Roman" w:hAnsi="Times New Roman" w:cs="仿宋"/>
          <w:color w:val="000000"/>
          <w:szCs w:val="21"/>
        </w:rPr>
        <w:t>工业及商业用途便携式可燃气体探测器检验项目</w:t>
      </w:r>
      <w:r>
        <w:rPr>
          <w:rFonts w:hint="eastAsia" w:cs="仿宋"/>
          <w:color w:val="000000"/>
          <w:szCs w:val="21"/>
          <w:lang w:eastAsia="zh-CN"/>
        </w:rPr>
        <w:t>和检验方法</w:t>
      </w:r>
    </w:p>
    <w:tbl>
      <w:tblPr>
        <w:tblStyle w:val="11"/>
        <w:tblW w:w="8821" w:type="dxa"/>
        <w:jc w:val="center"/>
        <w:tblInd w:w="-1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812"/>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序号</w:t>
            </w:r>
          </w:p>
        </w:tc>
        <w:tc>
          <w:tcPr>
            <w:tcW w:w="4812"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检 验 项 目</w:t>
            </w:r>
          </w:p>
        </w:tc>
        <w:tc>
          <w:tcPr>
            <w:tcW w:w="2524"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1</w:t>
            </w:r>
          </w:p>
        </w:tc>
        <w:tc>
          <w:tcPr>
            <w:tcW w:w="4812"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color w:val="000000"/>
                <w:kern w:val="0"/>
                <w:szCs w:val="21"/>
              </w:rPr>
            </w:pPr>
            <w:r>
              <w:rPr>
                <w:rFonts w:hint="eastAsia" w:ascii="Times New Roman" w:hAnsi="Times New Roman" w:cs="仿宋"/>
                <w:color w:val="000000"/>
                <w:kern w:val="0"/>
                <w:szCs w:val="21"/>
              </w:rPr>
              <w:t>报警动作值</w:t>
            </w:r>
          </w:p>
        </w:tc>
        <w:tc>
          <w:tcPr>
            <w:tcW w:w="2524"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GB 15322.3-2019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2</w:t>
            </w:r>
          </w:p>
        </w:tc>
        <w:tc>
          <w:tcPr>
            <w:tcW w:w="4812"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量程指示偏差</w:t>
            </w:r>
          </w:p>
        </w:tc>
        <w:tc>
          <w:tcPr>
            <w:tcW w:w="2524"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GB 15322.3-2019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3</w:t>
            </w:r>
          </w:p>
        </w:tc>
        <w:tc>
          <w:tcPr>
            <w:tcW w:w="4812"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响应时间</w:t>
            </w:r>
          </w:p>
        </w:tc>
        <w:tc>
          <w:tcPr>
            <w:tcW w:w="2524"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GB 15322.3-2019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4</w:t>
            </w:r>
          </w:p>
        </w:tc>
        <w:tc>
          <w:tcPr>
            <w:tcW w:w="4812"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报警重复性</w:t>
            </w:r>
          </w:p>
        </w:tc>
        <w:tc>
          <w:tcPr>
            <w:tcW w:w="2524"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GB 15322.3-2019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5</w:t>
            </w:r>
          </w:p>
        </w:tc>
        <w:tc>
          <w:tcPr>
            <w:tcW w:w="4812"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高温（运行）试验</w:t>
            </w:r>
          </w:p>
        </w:tc>
        <w:tc>
          <w:tcPr>
            <w:tcW w:w="2524"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GB 15322.3-2019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6</w:t>
            </w:r>
          </w:p>
        </w:tc>
        <w:tc>
          <w:tcPr>
            <w:tcW w:w="4812"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低温（运行）试验</w:t>
            </w:r>
          </w:p>
        </w:tc>
        <w:tc>
          <w:tcPr>
            <w:tcW w:w="2524"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GB 15322.3-2019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outlineLvl w:val="9"/>
              <w:rPr>
                <w:rFonts w:ascii="Times New Roman" w:hAnsi="Times New Roman" w:cs="仿宋"/>
                <w:szCs w:val="21"/>
              </w:rPr>
            </w:pPr>
            <w:r>
              <w:rPr>
                <w:rFonts w:hint="eastAsia" w:ascii="Times New Roman" w:hAnsi="Times New Roman" w:cs="仿宋"/>
                <w:szCs w:val="21"/>
              </w:rPr>
              <w:t>7</w:t>
            </w:r>
          </w:p>
        </w:tc>
        <w:tc>
          <w:tcPr>
            <w:tcW w:w="4812"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恒定湿热（运行）试验</w:t>
            </w:r>
          </w:p>
        </w:tc>
        <w:tc>
          <w:tcPr>
            <w:tcW w:w="2524" w:type="dxa"/>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top"/>
              <w:outlineLvl w:val="9"/>
              <w:rPr>
                <w:rFonts w:ascii="Times New Roman" w:hAnsi="Times New Roman" w:cs="仿宋"/>
                <w:szCs w:val="21"/>
              </w:rPr>
            </w:pPr>
            <w:r>
              <w:rPr>
                <w:rFonts w:hint="eastAsia" w:ascii="Times New Roman" w:hAnsi="Times New Roman" w:cs="仿宋"/>
                <w:color w:val="000000"/>
                <w:kern w:val="0"/>
                <w:szCs w:val="21"/>
              </w:rPr>
              <w:t>GB 15322.3-2019</w:t>
            </w:r>
          </w:p>
        </w:tc>
      </w:tr>
    </w:tbl>
    <w:p>
      <w:pPr>
        <w:keepNext w:val="0"/>
        <w:keepLines w:val="0"/>
        <w:pageBreakBefore w:val="0"/>
        <w:kinsoku/>
        <w:wordWrap/>
        <w:overflowPunct/>
        <w:topLinePunct w:val="0"/>
        <w:autoSpaceDE/>
        <w:autoSpaceDN/>
        <w:bidi w:val="0"/>
        <w:adjustRightInd/>
        <w:snapToGrid w:val="0"/>
        <w:spacing w:line="440" w:lineRule="exact"/>
        <w:ind w:left="0" w:leftChars="0" w:right="0" w:rightChars="0"/>
        <w:outlineLvl w:val="9"/>
        <w:rPr>
          <w:rFonts w:ascii="Times New Roman" w:hAnsi="Times New Roman"/>
          <w:szCs w:val="21"/>
        </w:rPr>
      </w:pP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outlineLvl w:val="9"/>
        <w:rPr>
          <w:rFonts w:ascii="Times New Roman" w:hAnsi="Times New Roman"/>
          <w:szCs w:val="21"/>
        </w:rPr>
      </w:pPr>
      <w:r>
        <w:rPr>
          <w:rFonts w:hint="eastAsia" w:ascii="Times New Roman" w:hAnsi="Times New Roman"/>
          <w:szCs w:val="21"/>
        </w:rPr>
        <w:t>执行企业标准、团体标准、地方标准的产品，检验项目参照上述内容执行。</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outlineLvl w:val="9"/>
        <w:rPr>
          <w:rFonts w:ascii="Times New Roman" w:hAnsi="Times New Roman"/>
          <w:szCs w:val="21"/>
        </w:rPr>
      </w:pPr>
      <w:r>
        <w:rPr>
          <w:rFonts w:hint="eastAsia" w:ascii="Times New Roman" w:hAnsi="Times New Roman"/>
          <w:szCs w:val="21"/>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adjustRightInd/>
        <w:snapToGrid w:val="0"/>
        <w:spacing w:line="440" w:lineRule="exact"/>
        <w:ind w:left="0" w:leftChars="0" w:right="0" w:rightChars="0"/>
        <w:outlineLvl w:val="9"/>
        <w:rPr>
          <w:rFonts w:ascii="Times New Roman" w:hAnsi="Times New Roman" w:eastAsia="黑体"/>
          <w:szCs w:val="21"/>
        </w:rPr>
      </w:pPr>
      <w:r>
        <w:rPr>
          <w:rFonts w:hint="eastAsia" w:ascii="Times New Roman" w:hAnsi="Times New Roman" w:eastAsia="黑体"/>
          <w:szCs w:val="21"/>
        </w:rPr>
        <w:t>3 判定规则</w:t>
      </w:r>
    </w:p>
    <w:p>
      <w:pPr>
        <w:keepNext w:val="0"/>
        <w:keepLines w:val="0"/>
        <w:pageBreakBefore w:val="0"/>
        <w:kinsoku/>
        <w:wordWrap/>
        <w:overflowPunct/>
        <w:topLinePunct w:val="0"/>
        <w:autoSpaceDE/>
        <w:autoSpaceDN/>
        <w:bidi w:val="0"/>
        <w:adjustRightInd/>
        <w:snapToGrid w:val="0"/>
        <w:spacing w:line="440" w:lineRule="exact"/>
        <w:ind w:left="0" w:leftChars="0" w:right="0" w:rightChars="0"/>
        <w:outlineLvl w:val="9"/>
        <w:rPr>
          <w:rFonts w:ascii="Times New Roman" w:hAnsi="Times New Roman"/>
          <w:szCs w:val="21"/>
        </w:rPr>
      </w:pPr>
      <w:r>
        <w:rPr>
          <w:rFonts w:hint="eastAsia" w:ascii="Times New Roman" w:hAnsi="Times New Roman"/>
          <w:szCs w:val="21"/>
        </w:rPr>
        <w:t>3.1依据标准</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outlineLvl w:val="9"/>
        <w:rPr>
          <w:rFonts w:ascii="Times New Roman" w:hAnsi="Times New Roman"/>
          <w:szCs w:val="21"/>
        </w:rPr>
      </w:pPr>
      <w:r>
        <w:rPr>
          <w:rFonts w:hint="eastAsia" w:ascii="Times New Roman" w:hAnsi="Times New Roman"/>
          <w:szCs w:val="21"/>
        </w:rPr>
        <w:t>GB 15322.1-2019</w:t>
      </w:r>
      <w:r>
        <w:rPr>
          <w:rFonts w:hint="eastAsia" w:ascii="Times New Roman" w:hAnsi="Times New Roman"/>
          <w:szCs w:val="21"/>
          <w:lang w:val="en-US" w:eastAsia="zh-CN"/>
        </w:rPr>
        <w:t xml:space="preserve">  </w:t>
      </w:r>
      <w:r>
        <w:rPr>
          <w:rFonts w:hint="eastAsia" w:ascii="Times New Roman" w:hAnsi="Times New Roman"/>
          <w:szCs w:val="21"/>
        </w:rPr>
        <w:t>可燃气体探测器 第1部分：工业及商业用途点型可燃气体探测器</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outlineLvl w:val="9"/>
        <w:rPr>
          <w:rFonts w:ascii="Times New Roman" w:hAnsi="Times New Roman"/>
          <w:szCs w:val="21"/>
        </w:rPr>
      </w:pPr>
      <w:r>
        <w:rPr>
          <w:rFonts w:hint="eastAsia" w:ascii="Times New Roman" w:hAnsi="Times New Roman"/>
          <w:szCs w:val="21"/>
        </w:rPr>
        <w:t>GB 15322.2-2019</w:t>
      </w:r>
      <w:r>
        <w:rPr>
          <w:rFonts w:hint="eastAsia" w:ascii="Times New Roman" w:hAnsi="Times New Roman"/>
          <w:szCs w:val="21"/>
          <w:lang w:val="en-US" w:eastAsia="zh-CN"/>
        </w:rPr>
        <w:t xml:space="preserve">  </w:t>
      </w:r>
      <w:r>
        <w:rPr>
          <w:rFonts w:hint="eastAsia" w:ascii="Times New Roman" w:hAnsi="Times New Roman"/>
          <w:szCs w:val="21"/>
        </w:rPr>
        <w:t>可燃气体探测器 第2部分：家用可燃气体探测器</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outlineLvl w:val="9"/>
        <w:rPr>
          <w:rFonts w:ascii="Times New Roman" w:hAnsi="Times New Roman"/>
          <w:szCs w:val="21"/>
        </w:rPr>
      </w:pPr>
      <w:r>
        <w:rPr>
          <w:rFonts w:hint="eastAsia" w:ascii="Times New Roman" w:hAnsi="Times New Roman"/>
          <w:szCs w:val="21"/>
        </w:rPr>
        <w:t>GB 15322.3-2019</w:t>
      </w:r>
      <w:r>
        <w:rPr>
          <w:rFonts w:hint="eastAsia" w:ascii="Times New Roman" w:hAnsi="Times New Roman"/>
          <w:szCs w:val="21"/>
          <w:lang w:val="en-US" w:eastAsia="zh-CN"/>
        </w:rPr>
        <w:t xml:space="preserve">  </w:t>
      </w:r>
      <w:r>
        <w:rPr>
          <w:rFonts w:hint="eastAsia" w:ascii="Times New Roman" w:hAnsi="Times New Roman"/>
          <w:szCs w:val="21"/>
        </w:rPr>
        <w:t>可燃气体探测器 第3部分：工业及商业用途便携式可燃气体探测器</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outlineLvl w:val="9"/>
        <w:rPr>
          <w:rFonts w:ascii="Times New Roman" w:hAnsi="Times New Roman"/>
          <w:szCs w:val="21"/>
        </w:rPr>
      </w:pPr>
      <w:r>
        <w:rPr>
          <w:rFonts w:hint="eastAsia" w:ascii="Times New Roman" w:hAnsi="Times New Roman"/>
          <w:szCs w:val="21"/>
        </w:rPr>
        <w:t>现行有效的企业标准、团体标准、地方标准及产品明示质量要求</w:t>
      </w:r>
    </w:p>
    <w:p>
      <w:pPr>
        <w:keepNext w:val="0"/>
        <w:keepLines w:val="0"/>
        <w:pageBreakBefore w:val="0"/>
        <w:kinsoku/>
        <w:wordWrap/>
        <w:overflowPunct/>
        <w:topLinePunct w:val="0"/>
        <w:autoSpaceDE/>
        <w:autoSpaceDN/>
        <w:bidi w:val="0"/>
        <w:adjustRightInd/>
        <w:snapToGrid w:val="0"/>
        <w:spacing w:line="440" w:lineRule="exact"/>
        <w:ind w:left="0" w:leftChars="0" w:right="0" w:rightChars="0"/>
        <w:outlineLvl w:val="9"/>
        <w:rPr>
          <w:rFonts w:ascii="Times New Roman" w:hAnsi="Times New Roman"/>
          <w:szCs w:val="21"/>
        </w:rPr>
      </w:pPr>
      <w:r>
        <w:rPr>
          <w:rFonts w:hint="eastAsia" w:ascii="Times New Roman" w:hAnsi="Times New Roman"/>
          <w:szCs w:val="21"/>
        </w:rPr>
        <w:t>3.2判定原则</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outlineLvl w:val="9"/>
        <w:rPr>
          <w:rFonts w:ascii="Times New Roman" w:hAnsi="Times New Roman"/>
          <w:szCs w:val="21"/>
        </w:rPr>
      </w:pPr>
      <w:r>
        <w:rPr>
          <w:rFonts w:ascii="Times New Roman" w:hAnsi="Times New Roman"/>
          <w:szCs w:val="21"/>
        </w:rPr>
        <w:t>经检验，检验项目全部合格，判定为被抽查产品</w:t>
      </w:r>
      <w:r>
        <w:rPr>
          <w:rFonts w:hint="eastAsia" w:ascii="Times New Roman" w:hAnsi="Times New Roman"/>
          <w:szCs w:val="21"/>
        </w:rPr>
        <w:t>所检项目未发现不</w:t>
      </w:r>
      <w:r>
        <w:rPr>
          <w:rFonts w:ascii="Times New Roman" w:hAnsi="Times New Roman"/>
          <w:szCs w:val="21"/>
        </w:rPr>
        <w:t>合格；检验项目中任一项或一项以上不合格，判定为被抽查产品不合格。</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18" w:firstLineChars="199"/>
        <w:outlineLvl w:val="9"/>
        <w:rPr>
          <w:rFonts w:ascii="Times New Roman" w:hAnsi="Times New Roman"/>
          <w:szCs w:val="21"/>
        </w:rPr>
      </w:pPr>
      <w:r>
        <w:rPr>
          <w:rFonts w:hint="eastAsia" w:ascii="Times New Roman" w:hAnsi="Times New Roman"/>
          <w:szCs w:val="21"/>
        </w:rPr>
        <w:t>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18" w:firstLineChars="199"/>
        <w:outlineLvl w:val="9"/>
        <w:rPr>
          <w:rFonts w:ascii="Times New Roman" w:hAnsi="Times New Roman"/>
          <w:szCs w:val="21"/>
        </w:rPr>
      </w:pPr>
      <w:r>
        <w:rPr>
          <w:rFonts w:hint="eastAsia" w:ascii="Times New Roman" w:hAnsi="Times New Roman"/>
          <w:szCs w:val="21"/>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18" w:firstLineChars="199"/>
        <w:outlineLvl w:val="9"/>
        <w:rPr>
          <w:rFonts w:ascii="Times New Roman" w:hAnsi="Times New Roman"/>
          <w:szCs w:val="21"/>
        </w:rPr>
      </w:pPr>
      <w:r>
        <w:rPr>
          <w:rFonts w:hint="eastAsia" w:ascii="Times New Roman" w:hAnsi="Times New Roman"/>
          <w:szCs w:val="21"/>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18" w:firstLineChars="199"/>
        <w:outlineLvl w:val="9"/>
        <w:rPr>
          <w:rFonts w:ascii="Times New Roman" w:hAnsi="Times New Roman"/>
          <w:szCs w:val="21"/>
        </w:rPr>
      </w:pPr>
      <w:r>
        <w:rPr>
          <w:rFonts w:hint="eastAsia" w:ascii="Times New Roman" w:hAnsi="Times New Roman"/>
          <w:szCs w:val="21"/>
        </w:rPr>
        <w:t>若被检产品明示的质量要求缺少本细则中检验项目依据的强制性标准要求时，应按照强制性标准要求判定。</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18" w:firstLineChars="199"/>
        <w:outlineLvl w:val="9"/>
        <w:rPr>
          <w:rFonts w:ascii="Times New Roman" w:hAnsi="Times New Roman"/>
          <w:szCs w:val="21"/>
        </w:rPr>
      </w:pPr>
      <w:r>
        <w:rPr>
          <w:rFonts w:hint="eastAsia" w:ascii="Times New Roman" w:hAnsi="Times New Roman"/>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12" w:usb3="00000000" w:csb0="00040001"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k2NmVlYTBlZTAwM2YyMGZkYzQzNzBhMjA3ZjVhY2UifQ=="/>
  </w:docVars>
  <w:rsids>
    <w:rsidRoot w:val="00172A27"/>
    <w:rsid w:val="00051A44"/>
    <w:rsid w:val="00072CEC"/>
    <w:rsid w:val="00081CBD"/>
    <w:rsid w:val="000976DE"/>
    <w:rsid w:val="000C0F2B"/>
    <w:rsid w:val="000C3F07"/>
    <w:rsid w:val="00113B12"/>
    <w:rsid w:val="00172A27"/>
    <w:rsid w:val="001809DD"/>
    <w:rsid w:val="001971E1"/>
    <w:rsid w:val="001C0304"/>
    <w:rsid w:val="001C405F"/>
    <w:rsid w:val="00203EC7"/>
    <w:rsid w:val="00232530"/>
    <w:rsid w:val="002375A3"/>
    <w:rsid w:val="00240030"/>
    <w:rsid w:val="00253624"/>
    <w:rsid w:val="002D7F8A"/>
    <w:rsid w:val="002E0D1D"/>
    <w:rsid w:val="002F3DE1"/>
    <w:rsid w:val="003203A3"/>
    <w:rsid w:val="00326ED1"/>
    <w:rsid w:val="00332B2B"/>
    <w:rsid w:val="00357A28"/>
    <w:rsid w:val="00365CBE"/>
    <w:rsid w:val="003A5FA9"/>
    <w:rsid w:val="003A7D30"/>
    <w:rsid w:val="003C388C"/>
    <w:rsid w:val="003D09A1"/>
    <w:rsid w:val="003E61BF"/>
    <w:rsid w:val="004104AC"/>
    <w:rsid w:val="00445E86"/>
    <w:rsid w:val="00464CEC"/>
    <w:rsid w:val="00474E04"/>
    <w:rsid w:val="004A7D7E"/>
    <w:rsid w:val="004D0C5A"/>
    <w:rsid w:val="004D184C"/>
    <w:rsid w:val="004D1A13"/>
    <w:rsid w:val="004E1396"/>
    <w:rsid w:val="004E3E65"/>
    <w:rsid w:val="00561866"/>
    <w:rsid w:val="00563EBC"/>
    <w:rsid w:val="00582181"/>
    <w:rsid w:val="0058549D"/>
    <w:rsid w:val="00594F49"/>
    <w:rsid w:val="006D0B02"/>
    <w:rsid w:val="006E1171"/>
    <w:rsid w:val="006E3365"/>
    <w:rsid w:val="006E773D"/>
    <w:rsid w:val="006F0971"/>
    <w:rsid w:val="0072334C"/>
    <w:rsid w:val="00770553"/>
    <w:rsid w:val="00772DF7"/>
    <w:rsid w:val="007C1420"/>
    <w:rsid w:val="00825014"/>
    <w:rsid w:val="00895BEA"/>
    <w:rsid w:val="008A3497"/>
    <w:rsid w:val="008B6598"/>
    <w:rsid w:val="008C3C20"/>
    <w:rsid w:val="008E2A79"/>
    <w:rsid w:val="00907ABB"/>
    <w:rsid w:val="00917A54"/>
    <w:rsid w:val="00953E64"/>
    <w:rsid w:val="00981355"/>
    <w:rsid w:val="009D4D12"/>
    <w:rsid w:val="009F24EF"/>
    <w:rsid w:val="00A06A40"/>
    <w:rsid w:val="00A43553"/>
    <w:rsid w:val="00A8267E"/>
    <w:rsid w:val="00AC35F7"/>
    <w:rsid w:val="00AC5391"/>
    <w:rsid w:val="00AD1F72"/>
    <w:rsid w:val="00AE7FD1"/>
    <w:rsid w:val="00B443BA"/>
    <w:rsid w:val="00BA0093"/>
    <w:rsid w:val="00BA534E"/>
    <w:rsid w:val="00BD52CD"/>
    <w:rsid w:val="00BD7DD0"/>
    <w:rsid w:val="00BF2B8C"/>
    <w:rsid w:val="00C03211"/>
    <w:rsid w:val="00C11BB6"/>
    <w:rsid w:val="00C26074"/>
    <w:rsid w:val="00C27CA1"/>
    <w:rsid w:val="00C83B0A"/>
    <w:rsid w:val="00CA78C3"/>
    <w:rsid w:val="00CB1E77"/>
    <w:rsid w:val="00CE1E0C"/>
    <w:rsid w:val="00CE277E"/>
    <w:rsid w:val="00CE5261"/>
    <w:rsid w:val="00D32501"/>
    <w:rsid w:val="00D56867"/>
    <w:rsid w:val="00E02A7F"/>
    <w:rsid w:val="00E07880"/>
    <w:rsid w:val="00E26181"/>
    <w:rsid w:val="00E36E84"/>
    <w:rsid w:val="00E7086B"/>
    <w:rsid w:val="00E82621"/>
    <w:rsid w:val="00EC0EFA"/>
    <w:rsid w:val="00EC391F"/>
    <w:rsid w:val="00F30146"/>
    <w:rsid w:val="00F42DA0"/>
    <w:rsid w:val="00F73BCF"/>
    <w:rsid w:val="00F74345"/>
    <w:rsid w:val="00F77C9A"/>
    <w:rsid w:val="00F97B5D"/>
    <w:rsid w:val="00FB4F2B"/>
    <w:rsid w:val="00FB576C"/>
    <w:rsid w:val="00FD2AA6"/>
    <w:rsid w:val="00FE7E8A"/>
    <w:rsid w:val="01276B70"/>
    <w:rsid w:val="06A31DF0"/>
    <w:rsid w:val="0CCF5BE1"/>
    <w:rsid w:val="0CDA3224"/>
    <w:rsid w:val="0D8E4B46"/>
    <w:rsid w:val="11036AF6"/>
    <w:rsid w:val="11663318"/>
    <w:rsid w:val="17781F8E"/>
    <w:rsid w:val="1E3E3F2B"/>
    <w:rsid w:val="20EF1645"/>
    <w:rsid w:val="226D7508"/>
    <w:rsid w:val="2B2F386A"/>
    <w:rsid w:val="2E9E0C07"/>
    <w:rsid w:val="3894625F"/>
    <w:rsid w:val="3B6F440E"/>
    <w:rsid w:val="3EBB2C7C"/>
    <w:rsid w:val="3FEFE0F5"/>
    <w:rsid w:val="3FFF6776"/>
    <w:rsid w:val="469F3D6C"/>
    <w:rsid w:val="47691236"/>
    <w:rsid w:val="49AE366E"/>
    <w:rsid w:val="4D7A49A9"/>
    <w:rsid w:val="51DE4BDE"/>
    <w:rsid w:val="535E3DD5"/>
    <w:rsid w:val="5F5465F4"/>
    <w:rsid w:val="62934847"/>
    <w:rsid w:val="63067269"/>
    <w:rsid w:val="71306040"/>
    <w:rsid w:val="73DB0949"/>
    <w:rsid w:val="BFEF7945"/>
    <w:rsid w:val="FB6D8D53"/>
    <w:rsid w:val="FECB702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3">
    <w:name w:val="annotation subject"/>
    <w:basedOn w:val="4"/>
    <w:next w:val="4"/>
    <w:link w:val="15"/>
    <w:unhideWhenUsed/>
    <w:uiPriority w:val="99"/>
    <w:rPr>
      <w:b/>
      <w:bCs/>
    </w:rPr>
  </w:style>
  <w:style w:type="paragraph" w:styleId="4">
    <w:name w:val="annotation text"/>
    <w:basedOn w:val="1"/>
    <w:link w:val="14"/>
    <w:unhideWhenUsed/>
    <w:uiPriority w:val="99"/>
    <w:pPr>
      <w:jc w:val="left"/>
    </w:pPr>
  </w:style>
  <w:style w:type="paragraph" w:styleId="5">
    <w:name w:val="Balloon Text"/>
    <w:basedOn w:val="1"/>
    <w:link w:val="16"/>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styleId="10">
    <w:name w:val="annotation reference"/>
    <w:unhideWhenUsed/>
    <w:qFormat/>
    <w:uiPriority w:val="99"/>
    <w:rPr>
      <w:sz w:val="21"/>
      <w:szCs w:val="21"/>
    </w:rPr>
  </w:style>
  <w:style w:type="table" w:styleId="12">
    <w:name w:val="Table Grid"/>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脚 Char"/>
    <w:link w:val="6"/>
    <w:qFormat/>
    <w:uiPriority w:val="99"/>
    <w:rPr>
      <w:kern w:val="2"/>
      <w:sz w:val="18"/>
      <w:szCs w:val="18"/>
    </w:rPr>
  </w:style>
  <w:style w:type="character" w:customStyle="1" w:styleId="14">
    <w:name w:val="批注文字 Char"/>
    <w:link w:val="4"/>
    <w:semiHidden/>
    <w:qFormat/>
    <w:uiPriority w:val="99"/>
    <w:rPr>
      <w:kern w:val="2"/>
      <w:sz w:val="21"/>
      <w:szCs w:val="24"/>
    </w:rPr>
  </w:style>
  <w:style w:type="character" w:customStyle="1" w:styleId="15">
    <w:name w:val="批注主题 Char"/>
    <w:link w:val="3"/>
    <w:semiHidden/>
    <w:qFormat/>
    <w:uiPriority w:val="99"/>
    <w:rPr>
      <w:b/>
      <w:bCs/>
      <w:kern w:val="2"/>
      <w:sz w:val="21"/>
      <w:szCs w:val="24"/>
    </w:rPr>
  </w:style>
  <w:style w:type="character" w:customStyle="1" w:styleId="16">
    <w:name w:val="批注框文本 Char"/>
    <w:link w:val="5"/>
    <w:semiHidden/>
    <w:qFormat/>
    <w:uiPriority w:val="99"/>
    <w:rPr>
      <w:kern w:val="2"/>
      <w:sz w:val="18"/>
      <w:szCs w:val="18"/>
    </w:rPr>
  </w:style>
  <w:style w:type="character" w:customStyle="1" w:styleId="17">
    <w:name w:val="页眉 Char"/>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AA47C-14B1-41C3-814C-978721640080}">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3</Pages>
  <Words>238</Words>
  <Characters>1359</Characters>
  <Lines>11</Lines>
  <Paragraphs>3</Paragraphs>
  <ScaleCrop>false</ScaleCrop>
  <LinksUpToDate>false</LinksUpToDate>
  <CharactersWithSpaces>1594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2022-01-24T18:30:00Z</dcterms:created>
  <dc:creator>Legend User</dc:creator>
  <cp:lastModifiedBy>赵</cp:lastModifiedBy>
  <cp:lastPrinted>2022-07-01T22:47:00Z</cp:lastPrinted>
  <dcterms:modified xsi:type="dcterms:W3CDTF">2023-09-28T08:22:40Z</dcterms:modified>
  <dc:title>××产品质量监督抽查实施细则</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4F6A806F71332B75D4501165028E2E78</vt:lpwstr>
  </property>
</Properties>
</file>