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20965BB">
      <w:pPr>
        <w:adjustRightInd w:val="0"/>
        <w:snapToGrid w:val="0"/>
        <w:spacing w:line="440" w:lineRule="exact"/>
        <w:jc w:val="center"/>
        <w:rPr>
          <w:rFonts w:ascii="Times New Roman" w:hAnsi="Times New Roman" w:eastAsia="方正小标宋简体" w:cs="方正仿宋简体"/>
          <w:sz w:val="32"/>
          <w:szCs w:val="32"/>
        </w:rPr>
      </w:pPr>
      <w:r>
        <w:rPr>
          <w:rFonts w:hint="eastAsia" w:ascii="Times New Roman" w:hAnsi="Times New Roman" w:eastAsia="方正小标宋简体" w:cs="方正仿宋简体"/>
          <w:color w:val="000000"/>
          <w:sz w:val="32"/>
          <w:szCs w:val="32"/>
        </w:rPr>
        <w:t>沈阳市防火门产品质量监督抽查实施细则</w:t>
      </w:r>
    </w:p>
    <w:p w14:paraId="4D908CCD">
      <w:pPr>
        <w:snapToGrid w:val="0"/>
        <w:spacing w:line="440" w:lineRule="exact"/>
        <w:rPr>
          <w:rFonts w:ascii="Times New Roman" w:hAnsi="Times New Roman" w:eastAsia="黑体"/>
          <w:szCs w:val="21"/>
        </w:rPr>
      </w:pPr>
    </w:p>
    <w:p w14:paraId="3D767475">
      <w:pPr>
        <w:snapToGrid w:val="0"/>
        <w:spacing w:line="440" w:lineRule="exact"/>
        <w:rPr>
          <w:rFonts w:ascii="Times New Roman" w:hAnsi="Times New Roman" w:eastAsia="黑体"/>
          <w:szCs w:val="21"/>
        </w:rPr>
      </w:pPr>
      <w:r>
        <w:rPr>
          <w:rFonts w:ascii="Times New Roman" w:hAnsi="Times New Roman" w:eastAsia="黑体"/>
          <w:szCs w:val="21"/>
        </w:rPr>
        <w:t>1 抽样方法</w:t>
      </w:r>
      <w:bookmarkStart w:id="0" w:name="_GoBack"/>
      <w:bookmarkEnd w:id="0"/>
    </w:p>
    <w:p w14:paraId="045E7A22">
      <w:pPr>
        <w:snapToGrid w:val="0"/>
        <w:spacing w:line="440" w:lineRule="exact"/>
        <w:ind w:firstLine="420" w:firstLineChars="200"/>
        <w:rPr>
          <w:rFonts w:ascii="Times New Roman" w:hAnsi="Times New Roman"/>
          <w:szCs w:val="21"/>
        </w:rPr>
      </w:pPr>
      <w:r>
        <w:rPr>
          <w:rFonts w:ascii="Times New Roman" w:hAnsi="Times New Roman"/>
          <w:szCs w:val="21"/>
        </w:rPr>
        <w:t>以随机抽样的方式在被抽样生产者</w:t>
      </w:r>
      <w:r>
        <w:rPr>
          <w:rFonts w:hint="eastAsia" w:ascii="Times New Roman" w:hAnsi="Times New Roman"/>
          <w:szCs w:val="21"/>
          <w:lang w:eastAsia="zh-CN"/>
        </w:rPr>
        <w:t>、销售者</w:t>
      </w:r>
      <w:r>
        <w:rPr>
          <w:rFonts w:ascii="Times New Roman" w:hAnsi="Times New Roman"/>
          <w:szCs w:val="21"/>
        </w:rPr>
        <w:t>的待销产品中抽取。</w:t>
      </w:r>
    </w:p>
    <w:p w14:paraId="378024B9">
      <w:pPr>
        <w:snapToGrid w:val="0"/>
        <w:spacing w:line="440" w:lineRule="exact"/>
        <w:ind w:firstLine="420" w:firstLineChars="200"/>
        <w:rPr>
          <w:rFonts w:ascii="Times New Roman" w:hAnsi="Times New Roman"/>
          <w:szCs w:val="21"/>
        </w:rPr>
      </w:pPr>
      <w:r>
        <w:rPr>
          <w:rFonts w:ascii="Times New Roman" w:hAnsi="Times New Roman"/>
          <w:szCs w:val="21"/>
        </w:rPr>
        <w:t>随机数一般可使用随机数表等方法产生。</w:t>
      </w:r>
    </w:p>
    <w:p w14:paraId="4A0D93CA">
      <w:pPr>
        <w:snapToGrid w:val="0"/>
        <w:spacing w:line="440" w:lineRule="exact"/>
        <w:ind w:firstLine="420" w:firstLineChars="200"/>
        <w:rPr>
          <w:rFonts w:ascii="Times New Roman" w:hAnsi="Times New Roman"/>
          <w:szCs w:val="21"/>
        </w:rPr>
      </w:pPr>
      <w:r>
        <w:rPr>
          <w:rFonts w:hint="eastAsia" w:ascii="Times New Roman" w:hAnsi="Times New Roman"/>
          <w:szCs w:val="21"/>
        </w:rPr>
        <w:t>防火门产品抽样的数量为2樘，其中1樘作为检验样品、1樘作为备用样品。</w:t>
      </w:r>
    </w:p>
    <w:p w14:paraId="05EB8A46">
      <w:pPr>
        <w:snapToGrid w:val="0"/>
        <w:spacing w:line="440" w:lineRule="exact"/>
        <w:rPr>
          <w:rFonts w:ascii="Times New Roman" w:hAnsi="Times New Roman" w:eastAsia="黑体"/>
          <w:szCs w:val="21"/>
        </w:rPr>
      </w:pPr>
      <w:r>
        <w:rPr>
          <w:rFonts w:hint="eastAsia" w:ascii="Times New Roman" w:hAnsi="Times New Roman" w:eastAsia="黑体"/>
          <w:szCs w:val="21"/>
        </w:rPr>
        <w:t>2检验依据</w:t>
      </w:r>
    </w:p>
    <w:p w14:paraId="38244365">
      <w:pPr>
        <w:snapToGrid w:val="0"/>
        <w:spacing w:line="440" w:lineRule="exact"/>
        <w:jc w:val="center"/>
        <w:rPr>
          <w:rFonts w:hint="eastAsia" w:ascii="Times New Roman" w:hAnsi="Times New Roman"/>
          <w:color w:val="000000"/>
          <w:szCs w:val="21"/>
        </w:rPr>
      </w:pPr>
      <w:r>
        <w:rPr>
          <w:rFonts w:hint="eastAsia" w:ascii="Times New Roman" w:hAnsi="Times New Roman"/>
          <w:szCs w:val="21"/>
        </w:rPr>
        <w:t xml:space="preserve">表1 </w:t>
      </w:r>
      <w:r>
        <w:rPr>
          <w:rFonts w:hint="eastAsia" w:ascii="Times New Roman" w:hAnsi="Times New Roman"/>
          <w:szCs w:val="21"/>
          <w:lang w:eastAsia="zh-CN"/>
        </w:rPr>
        <w:t>防火门</w:t>
      </w:r>
      <w:r>
        <w:rPr>
          <w:rFonts w:hint="eastAsia" w:ascii="Times New Roman" w:hAnsi="Times New Roman" w:cs="宋体"/>
          <w:szCs w:val="21"/>
        </w:rPr>
        <w:t>（</w:t>
      </w:r>
      <w:r>
        <w:rPr>
          <w:rFonts w:ascii="Times New Roman" w:hAnsi="Times New Roman"/>
          <w:color w:val="000000"/>
          <w:szCs w:val="21"/>
        </w:rPr>
        <w:t>GB 12955—2008</w:t>
      </w:r>
      <w:r>
        <w:rPr>
          <w:rFonts w:hint="eastAsia" w:ascii="Times New Roman" w:hAnsi="Times New Roman" w:cs="宋体"/>
          <w:szCs w:val="21"/>
        </w:rPr>
        <w:t>）</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65"/>
        <w:gridCol w:w="3105"/>
        <w:gridCol w:w="3520"/>
      </w:tblGrid>
      <w:tr w14:paraId="1CB3D2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65" w:type="dxa"/>
          </w:tcPr>
          <w:p w14:paraId="5F2497FE">
            <w:pPr>
              <w:snapToGrid w:val="0"/>
              <w:spacing w:line="440" w:lineRule="exact"/>
              <w:jc w:val="center"/>
              <w:rPr>
                <w:rFonts w:ascii="Times New Roman" w:hAnsi="Times New Roman"/>
                <w:color w:val="000000"/>
                <w:szCs w:val="21"/>
              </w:rPr>
            </w:pPr>
            <w:r>
              <w:rPr>
                <w:rFonts w:ascii="Times New Roman" w:hAnsi="Times New Roman"/>
                <w:color w:val="000000"/>
                <w:szCs w:val="21"/>
              </w:rPr>
              <w:t>序号</w:t>
            </w:r>
          </w:p>
        </w:tc>
        <w:tc>
          <w:tcPr>
            <w:tcW w:w="3105" w:type="dxa"/>
          </w:tcPr>
          <w:p w14:paraId="19E7D8BF">
            <w:pPr>
              <w:snapToGrid w:val="0"/>
              <w:spacing w:line="440" w:lineRule="exact"/>
              <w:jc w:val="center"/>
              <w:rPr>
                <w:rFonts w:ascii="Times New Roman" w:hAnsi="Times New Roman"/>
                <w:color w:val="000000"/>
                <w:szCs w:val="21"/>
              </w:rPr>
            </w:pPr>
            <w:r>
              <w:rPr>
                <w:rFonts w:ascii="Times New Roman" w:hAnsi="Times New Roman"/>
                <w:color w:val="000000"/>
                <w:szCs w:val="21"/>
              </w:rPr>
              <w:t>检验项目</w:t>
            </w:r>
          </w:p>
        </w:tc>
        <w:tc>
          <w:tcPr>
            <w:tcW w:w="3520" w:type="dxa"/>
          </w:tcPr>
          <w:p w14:paraId="470818FF">
            <w:pPr>
              <w:snapToGrid w:val="0"/>
              <w:spacing w:line="440" w:lineRule="exact"/>
              <w:jc w:val="center"/>
              <w:rPr>
                <w:rFonts w:ascii="Times New Roman" w:hAnsi="Times New Roman"/>
                <w:color w:val="000000"/>
                <w:szCs w:val="21"/>
              </w:rPr>
            </w:pPr>
            <w:r>
              <w:rPr>
                <w:rFonts w:ascii="Times New Roman" w:hAnsi="Times New Roman"/>
                <w:color w:val="000000"/>
                <w:szCs w:val="21"/>
              </w:rPr>
              <w:t>检验方法</w:t>
            </w:r>
          </w:p>
        </w:tc>
      </w:tr>
      <w:tr w14:paraId="08ACA5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2" w:hRule="atLeast"/>
          <w:jc w:val="center"/>
        </w:trPr>
        <w:tc>
          <w:tcPr>
            <w:tcW w:w="1165" w:type="dxa"/>
          </w:tcPr>
          <w:p w14:paraId="399A30EC">
            <w:pPr>
              <w:snapToGrid w:val="0"/>
              <w:spacing w:line="440" w:lineRule="exact"/>
              <w:jc w:val="center"/>
              <w:rPr>
                <w:rFonts w:ascii="Times New Roman" w:hAnsi="Times New Roman"/>
                <w:color w:val="000000"/>
                <w:szCs w:val="21"/>
              </w:rPr>
            </w:pPr>
            <w:r>
              <w:rPr>
                <w:rFonts w:ascii="Times New Roman" w:hAnsi="Times New Roman"/>
                <w:color w:val="000000"/>
                <w:szCs w:val="21"/>
              </w:rPr>
              <w:t>1</w:t>
            </w:r>
          </w:p>
        </w:tc>
        <w:tc>
          <w:tcPr>
            <w:tcW w:w="3105" w:type="dxa"/>
          </w:tcPr>
          <w:p w14:paraId="6B53A03A">
            <w:pPr>
              <w:snapToGrid w:val="0"/>
              <w:spacing w:line="440" w:lineRule="exact"/>
              <w:jc w:val="center"/>
              <w:rPr>
                <w:rFonts w:ascii="Times New Roman" w:hAnsi="Times New Roman"/>
                <w:color w:val="000000"/>
                <w:szCs w:val="21"/>
              </w:rPr>
            </w:pPr>
            <w:r>
              <w:rPr>
                <w:rFonts w:ascii="Times New Roman" w:hAnsi="Times New Roman"/>
                <w:color w:val="000000"/>
                <w:szCs w:val="21"/>
              </w:rPr>
              <w:t>启闭灵活性</w:t>
            </w:r>
          </w:p>
        </w:tc>
        <w:tc>
          <w:tcPr>
            <w:tcW w:w="3520" w:type="dxa"/>
          </w:tcPr>
          <w:p w14:paraId="0BF31D03">
            <w:pPr>
              <w:spacing w:line="440" w:lineRule="exact"/>
              <w:jc w:val="center"/>
              <w:textAlignment w:val="center"/>
              <w:rPr>
                <w:rFonts w:ascii="Times New Roman" w:hAnsi="Times New Roman"/>
                <w:kern w:val="0"/>
                <w:szCs w:val="21"/>
              </w:rPr>
            </w:pPr>
            <w:r>
              <w:rPr>
                <w:rFonts w:ascii="Times New Roman" w:hAnsi="Times New Roman"/>
                <w:kern w:val="0"/>
                <w:szCs w:val="21"/>
              </w:rPr>
              <w:t>GB 12955</w:t>
            </w:r>
            <w:r>
              <w:rPr>
                <w:rFonts w:hint="eastAsia" w:ascii="Times New Roman" w:hAnsi="Times New Roman"/>
                <w:kern w:val="0"/>
                <w:szCs w:val="21"/>
              </w:rPr>
              <w:t>—</w:t>
            </w:r>
            <w:r>
              <w:rPr>
                <w:rFonts w:ascii="Times New Roman" w:hAnsi="Times New Roman"/>
                <w:kern w:val="0"/>
                <w:szCs w:val="21"/>
              </w:rPr>
              <w:t>2008</w:t>
            </w:r>
          </w:p>
        </w:tc>
      </w:tr>
      <w:tr w14:paraId="5E6D30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8" w:hRule="atLeast"/>
          <w:jc w:val="center"/>
        </w:trPr>
        <w:tc>
          <w:tcPr>
            <w:tcW w:w="1165" w:type="dxa"/>
          </w:tcPr>
          <w:p w14:paraId="6259E78A">
            <w:pPr>
              <w:snapToGrid w:val="0"/>
              <w:spacing w:line="440" w:lineRule="exact"/>
              <w:jc w:val="center"/>
              <w:rPr>
                <w:rFonts w:ascii="Times New Roman" w:hAnsi="Times New Roman"/>
                <w:color w:val="000000"/>
                <w:szCs w:val="21"/>
              </w:rPr>
            </w:pPr>
            <w:r>
              <w:rPr>
                <w:rFonts w:ascii="Times New Roman" w:hAnsi="Times New Roman"/>
                <w:color w:val="000000"/>
                <w:szCs w:val="21"/>
              </w:rPr>
              <w:t>2</w:t>
            </w:r>
          </w:p>
        </w:tc>
        <w:tc>
          <w:tcPr>
            <w:tcW w:w="3105" w:type="dxa"/>
          </w:tcPr>
          <w:p w14:paraId="2E148B94">
            <w:pPr>
              <w:snapToGrid w:val="0"/>
              <w:spacing w:line="440" w:lineRule="exact"/>
              <w:jc w:val="center"/>
              <w:rPr>
                <w:rFonts w:ascii="Times New Roman" w:hAnsi="Times New Roman"/>
                <w:color w:val="000000"/>
                <w:szCs w:val="21"/>
              </w:rPr>
            </w:pPr>
            <w:r>
              <w:rPr>
                <w:rFonts w:ascii="Times New Roman" w:hAnsi="Times New Roman"/>
                <w:color w:val="000000"/>
                <w:szCs w:val="21"/>
              </w:rPr>
              <w:t>门扇开启力</w:t>
            </w:r>
          </w:p>
        </w:tc>
        <w:tc>
          <w:tcPr>
            <w:tcW w:w="3520" w:type="dxa"/>
          </w:tcPr>
          <w:p w14:paraId="351E1736">
            <w:pPr>
              <w:spacing w:line="440" w:lineRule="exact"/>
              <w:jc w:val="center"/>
              <w:textAlignment w:val="center"/>
              <w:rPr>
                <w:rFonts w:ascii="Times New Roman" w:hAnsi="Times New Roman"/>
                <w:kern w:val="0"/>
                <w:szCs w:val="21"/>
              </w:rPr>
            </w:pPr>
            <w:r>
              <w:rPr>
                <w:rFonts w:ascii="Times New Roman" w:hAnsi="Times New Roman"/>
                <w:kern w:val="0"/>
                <w:szCs w:val="21"/>
              </w:rPr>
              <w:t>GB 12955</w:t>
            </w:r>
            <w:r>
              <w:rPr>
                <w:rFonts w:hint="eastAsia" w:ascii="Times New Roman" w:hAnsi="Times New Roman"/>
                <w:kern w:val="0"/>
                <w:szCs w:val="21"/>
              </w:rPr>
              <w:t>—</w:t>
            </w:r>
            <w:r>
              <w:rPr>
                <w:rFonts w:ascii="Times New Roman" w:hAnsi="Times New Roman"/>
                <w:kern w:val="0"/>
                <w:szCs w:val="21"/>
              </w:rPr>
              <w:t>2008</w:t>
            </w:r>
          </w:p>
        </w:tc>
      </w:tr>
      <w:tr w14:paraId="630564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65" w:type="dxa"/>
          </w:tcPr>
          <w:p w14:paraId="1DE226CE">
            <w:pPr>
              <w:snapToGrid w:val="0"/>
              <w:spacing w:line="440" w:lineRule="exact"/>
              <w:jc w:val="center"/>
              <w:rPr>
                <w:rFonts w:ascii="Times New Roman" w:hAnsi="Times New Roman"/>
                <w:color w:val="000000"/>
                <w:szCs w:val="21"/>
              </w:rPr>
            </w:pPr>
            <w:r>
              <w:rPr>
                <w:rFonts w:ascii="Times New Roman" w:hAnsi="Times New Roman"/>
                <w:color w:val="000000"/>
                <w:szCs w:val="21"/>
              </w:rPr>
              <w:t>3</w:t>
            </w:r>
          </w:p>
        </w:tc>
        <w:tc>
          <w:tcPr>
            <w:tcW w:w="3105" w:type="dxa"/>
          </w:tcPr>
          <w:p w14:paraId="07F76EDA">
            <w:pPr>
              <w:snapToGrid w:val="0"/>
              <w:spacing w:line="440" w:lineRule="exact"/>
              <w:jc w:val="center"/>
              <w:rPr>
                <w:rFonts w:ascii="Times New Roman" w:hAnsi="Times New Roman"/>
                <w:color w:val="000000"/>
                <w:szCs w:val="21"/>
              </w:rPr>
            </w:pPr>
            <w:r>
              <w:rPr>
                <w:rFonts w:ascii="Times New Roman" w:hAnsi="Times New Roman"/>
                <w:color w:val="000000"/>
                <w:szCs w:val="21"/>
              </w:rPr>
              <w:t>可靠性</w:t>
            </w:r>
          </w:p>
        </w:tc>
        <w:tc>
          <w:tcPr>
            <w:tcW w:w="3520" w:type="dxa"/>
          </w:tcPr>
          <w:p w14:paraId="36367A7A">
            <w:pPr>
              <w:spacing w:line="440" w:lineRule="exact"/>
              <w:jc w:val="center"/>
              <w:textAlignment w:val="center"/>
              <w:rPr>
                <w:rFonts w:ascii="Times New Roman" w:hAnsi="Times New Roman"/>
                <w:kern w:val="0"/>
                <w:szCs w:val="21"/>
              </w:rPr>
            </w:pPr>
            <w:r>
              <w:rPr>
                <w:rFonts w:ascii="Times New Roman" w:hAnsi="Times New Roman"/>
                <w:kern w:val="0"/>
                <w:szCs w:val="21"/>
              </w:rPr>
              <w:t>GB 12955</w:t>
            </w:r>
            <w:r>
              <w:rPr>
                <w:rFonts w:hint="eastAsia" w:ascii="Times New Roman" w:hAnsi="Times New Roman"/>
                <w:kern w:val="0"/>
                <w:szCs w:val="21"/>
              </w:rPr>
              <w:t>—</w:t>
            </w:r>
            <w:r>
              <w:rPr>
                <w:rFonts w:ascii="Times New Roman" w:hAnsi="Times New Roman"/>
                <w:kern w:val="0"/>
                <w:szCs w:val="21"/>
              </w:rPr>
              <w:t>2008</w:t>
            </w:r>
          </w:p>
        </w:tc>
      </w:tr>
      <w:tr w14:paraId="4F18DB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65" w:type="dxa"/>
            <w:vAlign w:val="center"/>
          </w:tcPr>
          <w:p w14:paraId="60ED5598">
            <w:pPr>
              <w:snapToGrid w:val="0"/>
              <w:spacing w:line="440" w:lineRule="exact"/>
              <w:jc w:val="center"/>
              <w:rPr>
                <w:rFonts w:ascii="Times New Roman" w:hAnsi="Times New Roman"/>
                <w:color w:val="000000"/>
                <w:szCs w:val="21"/>
              </w:rPr>
            </w:pPr>
            <w:r>
              <w:rPr>
                <w:rFonts w:ascii="Times New Roman" w:hAnsi="Times New Roman"/>
                <w:color w:val="000000"/>
                <w:szCs w:val="21"/>
              </w:rPr>
              <w:t>4</w:t>
            </w:r>
          </w:p>
        </w:tc>
        <w:tc>
          <w:tcPr>
            <w:tcW w:w="3105" w:type="dxa"/>
            <w:vAlign w:val="center"/>
          </w:tcPr>
          <w:p w14:paraId="0BF992EC">
            <w:pPr>
              <w:snapToGrid w:val="0"/>
              <w:spacing w:line="440" w:lineRule="exact"/>
              <w:jc w:val="center"/>
              <w:rPr>
                <w:rFonts w:ascii="Times New Roman" w:hAnsi="Times New Roman"/>
                <w:color w:val="000000"/>
                <w:szCs w:val="21"/>
              </w:rPr>
            </w:pPr>
            <w:r>
              <w:rPr>
                <w:rFonts w:ascii="Times New Roman" w:hAnsi="Times New Roman"/>
                <w:color w:val="000000"/>
                <w:szCs w:val="21"/>
              </w:rPr>
              <w:t>耐火性能</w:t>
            </w:r>
          </w:p>
        </w:tc>
        <w:tc>
          <w:tcPr>
            <w:tcW w:w="3520" w:type="dxa"/>
            <w:vAlign w:val="center"/>
          </w:tcPr>
          <w:p w14:paraId="31D4CF0D">
            <w:pPr>
              <w:spacing w:line="440" w:lineRule="exact"/>
              <w:jc w:val="center"/>
              <w:textAlignment w:val="center"/>
              <w:rPr>
                <w:rFonts w:ascii="Times New Roman" w:hAnsi="Times New Roman"/>
                <w:kern w:val="0"/>
                <w:szCs w:val="21"/>
              </w:rPr>
            </w:pPr>
            <w:r>
              <w:rPr>
                <w:rFonts w:ascii="Times New Roman" w:hAnsi="Times New Roman"/>
                <w:kern w:val="0"/>
                <w:szCs w:val="21"/>
              </w:rPr>
              <w:t>GB 12955</w:t>
            </w:r>
            <w:r>
              <w:rPr>
                <w:rFonts w:hint="eastAsia" w:ascii="Times New Roman" w:hAnsi="Times New Roman"/>
                <w:kern w:val="0"/>
                <w:szCs w:val="21"/>
              </w:rPr>
              <w:t>—</w:t>
            </w:r>
            <w:r>
              <w:rPr>
                <w:rFonts w:ascii="Times New Roman" w:hAnsi="Times New Roman"/>
                <w:kern w:val="0"/>
                <w:szCs w:val="21"/>
              </w:rPr>
              <w:t>2008</w:t>
            </w:r>
          </w:p>
          <w:p w14:paraId="4C17FB84">
            <w:pPr>
              <w:spacing w:line="440" w:lineRule="exact"/>
              <w:jc w:val="center"/>
              <w:textAlignment w:val="center"/>
              <w:rPr>
                <w:rFonts w:ascii="Times New Roman" w:hAnsi="Times New Roman"/>
                <w:kern w:val="0"/>
                <w:szCs w:val="21"/>
              </w:rPr>
            </w:pPr>
            <w:r>
              <w:rPr>
                <w:rFonts w:ascii="Times New Roman" w:hAnsi="Times New Roman"/>
                <w:kern w:val="0"/>
                <w:szCs w:val="21"/>
              </w:rPr>
              <w:t>GB/T 7633</w:t>
            </w:r>
            <w:r>
              <w:rPr>
                <w:rFonts w:hint="eastAsia" w:ascii="Times New Roman" w:hAnsi="Times New Roman"/>
                <w:kern w:val="0"/>
                <w:szCs w:val="21"/>
              </w:rPr>
              <w:t>—</w:t>
            </w:r>
            <w:r>
              <w:rPr>
                <w:rFonts w:ascii="Times New Roman" w:hAnsi="Times New Roman"/>
                <w:kern w:val="0"/>
                <w:szCs w:val="21"/>
              </w:rPr>
              <w:t>2008</w:t>
            </w:r>
          </w:p>
        </w:tc>
      </w:tr>
      <w:tr w14:paraId="0F4027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65" w:type="dxa"/>
          </w:tcPr>
          <w:p w14:paraId="07A86AF5">
            <w:pPr>
              <w:snapToGrid w:val="0"/>
              <w:spacing w:line="440" w:lineRule="exact"/>
              <w:jc w:val="center"/>
              <w:rPr>
                <w:rFonts w:ascii="Times New Roman" w:hAnsi="Times New Roman"/>
                <w:color w:val="000000"/>
                <w:szCs w:val="21"/>
              </w:rPr>
            </w:pPr>
            <w:r>
              <w:rPr>
                <w:rFonts w:ascii="Times New Roman" w:hAnsi="Times New Roman"/>
                <w:color w:val="000000"/>
                <w:szCs w:val="21"/>
              </w:rPr>
              <w:t>5</w:t>
            </w:r>
          </w:p>
        </w:tc>
        <w:tc>
          <w:tcPr>
            <w:tcW w:w="3105" w:type="dxa"/>
          </w:tcPr>
          <w:p w14:paraId="631BDCBE">
            <w:pPr>
              <w:snapToGrid w:val="0"/>
              <w:spacing w:line="440" w:lineRule="exact"/>
              <w:jc w:val="center"/>
              <w:rPr>
                <w:rFonts w:ascii="Times New Roman" w:hAnsi="Times New Roman"/>
                <w:color w:val="000000"/>
                <w:szCs w:val="21"/>
              </w:rPr>
            </w:pPr>
            <w:r>
              <w:rPr>
                <w:rFonts w:ascii="Times New Roman" w:hAnsi="Times New Roman"/>
                <w:color w:val="000000"/>
                <w:szCs w:val="21"/>
              </w:rPr>
              <w:t>防火锁的耐火性能</w:t>
            </w:r>
          </w:p>
        </w:tc>
        <w:tc>
          <w:tcPr>
            <w:tcW w:w="3520" w:type="dxa"/>
          </w:tcPr>
          <w:p w14:paraId="255A2B69">
            <w:pPr>
              <w:spacing w:line="440" w:lineRule="exact"/>
              <w:jc w:val="center"/>
              <w:textAlignment w:val="center"/>
              <w:rPr>
                <w:rFonts w:ascii="Times New Roman" w:hAnsi="Times New Roman"/>
                <w:kern w:val="0"/>
                <w:szCs w:val="21"/>
              </w:rPr>
            </w:pPr>
            <w:r>
              <w:rPr>
                <w:rFonts w:ascii="Times New Roman" w:hAnsi="Times New Roman"/>
                <w:kern w:val="0"/>
                <w:szCs w:val="21"/>
              </w:rPr>
              <w:t>GB 12955</w:t>
            </w:r>
            <w:r>
              <w:rPr>
                <w:rFonts w:hint="eastAsia" w:ascii="Times New Roman" w:hAnsi="Times New Roman"/>
                <w:kern w:val="0"/>
                <w:szCs w:val="21"/>
              </w:rPr>
              <w:t>—</w:t>
            </w:r>
            <w:r>
              <w:rPr>
                <w:rFonts w:ascii="Times New Roman" w:hAnsi="Times New Roman"/>
                <w:kern w:val="0"/>
                <w:szCs w:val="21"/>
              </w:rPr>
              <w:t>2008</w:t>
            </w:r>
          </w:p>
        </w:tc>
      </w:tr>
      <w:tr w14:paraId="71B0C4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65" w:type="dxa"/>
          </w:tcPr>
          <w:p w14:paraId="2B3530A1">
            <w:pPr>
              <w:snapToGrid w:val="0"/>
              <w:spacing w:line="440" w:lineRule="exact"/>
              <w:jc w:val="center"/>
              <w:rPr>
                <w:rFonts w:ascii="Times New Roman" w:hAnsi="Times New Roman"/>
                <w:color w:val="000000"/>
                <w:szCs w:val="21"/>
              </w:rPr>
            </w:pPr>
            <w:r>
              <w:rPr>
                <w:rFonts w:ascii="Times New Roman" w:hAnsi="Times New Roman"/>
                <w:color w:val="000000"/>
                <w:szCs w:val="21"/>
              </w:rPr>
              <w:t>6</w:t>
            </w:r>
          </w:p>
        </w:tc>
        <w:tc>
          <w:tcPr>
            <w:tcW w:w="3105" w:type="dxa"/>
          </w:tcPr>
          <w:p w14:paraId="32975486">
            <w:pPr>
              <w:snapToGrid w:val="0"/>
              <w:spacing w:line="440" w:lineRule="exact"/>
              <w:jc w:val="center"/>
              <w:rPr>
                <w:rFonts w:ascii="Times New Roman" w:hAnsi="Times New Roman"/>
                <w:color w:val="000000"/>
                <w:szCs w:val="21"/>
              </w:rPr>
            </w:pPr>
            <w:r>
              <w:rPr>
                <w:rFonts w:ascii="Times New Roman" w:hAnsi="Times New Roman"/>
                <w:color w:val="000000"/>
                <w:szCs w:val="21"/>
              </w:rPr>
              <w:t>防火合页（铰链）的耐火性能</w:t>
            </w:r>
          </w:p>
        </w:tc>
        <w:tc>
          <w:tcPr>
            <w:tcW w:w="3520" w:type="dxa"/>
          </w:tcPr>
          <w:p w14:paraId="76D8AEA4">
            <w:pPr>
              <w:spacing w:line="440" w:lineRule="exact"/>
              <w:jc w:val="center"/>
              <w:textAlignment w:val="center"/>
              <w:rPr>
                <w:rFonts w:ascii="Times New Roman" w:hAnsi="Times New Roman"/>
                <w:kern w:val="0"/>
                <w:szCs w:val="21"/>
              </w:rPr>
            </w:pPr>
            <w:r>
              <w:rPr>
                <w:rFonts w:ascii="Times New Roman" w:hAnsi="Times New Roman"/>
                <w:kern w:val="0"/>
                <w:szCs w:val="21"/>
              </w:rPr>
              <w:t>GB 12955</w:t>
            </w:r>
            <w:r>
              <w:rPr>
                <w:rFonts w:hint="eastAsia" w:ascii="Times New Roman" w:hAnsi="Times New Roman"/>
                <w:kern w:val="0"/>
                <w:szCs w:val="21"/>
              </w:rPr>
              <w:t>—</w:t>
            </w:r>
            <w:r>
              <w:rPr>
                <w:rFonts w:ascii="Times New Roman" w:hAnsi="Times New Roman"/>
                <w:kern w:val="0"/>
                <w:szCs w:val="21"/>
              </w:rPr>
              <w:t>2008</w:t>
            </w:r>
          </w:p>
        </w:tc>
      </w:tr>
    </w:tbl>
    <w:p w14:paraId="34B4A1D7">
      <w:pPr>
        <w:snapToGrid w:val="0"/>
        <w:spacing w:line="440" w:lineRule="exact"/>
        <w:jc w:val="center"/>
        <w:rPr>
          <w:rFonts w:hint="eastAsia" w:ascii="Times New Roman" w:hAnsi="Times New Roman"/>
          <w:color w:val="000000"/>
          <w:szCs w:val="21"/>
        </w:rPr>
      </w:pPr>
      <w:r>
        <w:rPr>
          <w:rFonts w:hint="eastAsia" w:ascii="Times New Roman" w:hAnsi="Times New Roman"/>
          <w:szCs w:val="21"/>
        </w:rPr>
        <w:t xml:space="preserve">表2 </w:t>
      </w:r>
      <w:r>
        <w:rPr>
          <w:rFonts w:hint="eastAsia" w:ascii="Times New Roman" w:hAnsi="Times New Roman"/>
          <w:szCs w:val="21"/>
          <w:lang w:eastAsia="zh-CN"/>
        </w:rPr>
        <w:t>防火门</w:t>
      </w:r>
      <w:r>
        <w:rPr>
          <w:rFonts w:hint="eastAsia" w:ascii="Times New Roman" w:hAnsi="Times New Roman" w:cs="宋体"/>
          <w:szCs w:val="21"/>
        </w:rPr>
        <w:t>（</w:t>
      </w:r>
      <w:r>
        <w:rPr>
          <w:rFonts w:ascii="Times New Roman" w:hAnsi="Times New Roman"/>
          <w:color w:val="000000"/>
          <w:szCs w:val="21"/>
        </w:rPr>
        <w:t>GB 12955—20</w:t>
      </w:r>
      <w:r>
        <w:rPr>
          <w:rFonts w:hint="eastAsia" w:ascii="Times New Roman" w:hAnsi="Times New Roman"/>
          <w:color w:val="000000"/>
          <w:szCs w:val="21"/>
        </w:rPr>
        <w:t>24</w:t>
      </w:r>
      <w:r>
        <w:rPr>
          <w:rFonts w:hint="eastAsia" w:ascii="Times New Roman" w:hAnsi="Times New Roman" w:cs="宋体"/>
          <w:szCs w:val="21"/>
        </w:rPr>
        <w:t>）</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11"/>
        <w:gridCol w:w="3105"/>
        <w:gridCol w:w="3565"/>
      </w:tblGrid>
      <w:tr w14:paraId="75BDC5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11" w:type="dxa"/>
          </w:tcPr>
          <w:p w14:paraId="10B188A7">
            <w:pPr>
              <w:snapToGrid w:val="0"/>
              <w:spacing w:line="440" w:lineRule="exact"/>
              <w:jc w:val="center"/>
              <w:rPr>
                <w:rFonts w:ascii="Times New Roman" w:hAnsi="Times New Roman"/>
                <w:color w:val="000000"/>
                <w:szCs w:val="21"/>
              </w:rPr>
            </w:pPr>
            <w:r>
              <w:rPr>
                <w:rFonts w:ascii="Times New Roman" w:hAnsi="Times New Roman"/>
                <w:color w:val="000000"/>
                <w:szCs w:val="21"/>
              </w:rPr>
              <w:t>序号</w:t>
            </w:r>
          </w:p>
        </w:tc>
        <w:tc>
          <w:tcPr>
            <w:tcW w:w="3105" w:type="dxa"/>
          </w:tcPr>
          <w:p w14:paraId="05D43674">
            <w:pPr>
              <w:snapToGrid w:val="0"/>
              <w:spacing w:line="440" w:lineRule="exact"/>
              <w:jc w:val="center"/>
              <w:rPr>
                <w:rFonts w:ascii="Times New Roman" w:hAnsi="Times New Roman"/>
                <w:color w:val="000000"/>
                <w:szCs w:val="21"/>
              </w:rPr>
            </w:pPr>
            <w:r>
              <w:rPr>
                <w:rFonts w:ascii="Times New Roman" w:hAnsi="Times New Roman"/>
                <w:color w:val="000000"/>
                <w:szCs w:val="21"/>
              </w:rPr>
              <w:t>检验项目</w:t>
            </w:r>
          </w:p>
        </w:tc>
        <w:tc>
          <w:tcPr>
            <w:tcW w:w="3565" w:type="dxa"/>
          </w:tcPr>
          <w:p w14:paraId="3939B411">
            <w:pPr>
              <w:snapToGrid w:val="0"/>
              <w:spacing w:line="440" w:lineRule="exact"/>
              <w:jc w:val="center"/>
              <w:rPr>
                <w:rFonts w:ascii="Times New Roman" w:hAnsi="Times New Roman"/>
                <w:color w:val="000000"/>
                <w:szCs w:val="21"/>
              </w:rPr>
            </w:pPr>
            <w:r>
              <w:rPr>
                <w:rFonts w:ascii="Times New Roman" w:hAnsi="Times New Roman"/>
                <w:color w:val="000000"/>
                <w:szCs w:val="21"/>
              </w:rPr>
              <w:t>检验方法</w:t>
            </w:r>
          </w:p>
        </w:tc>
      </w:tr>
      <w:tr w14:paraId="0BBF41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2" w:hRule="atLeast"/>
          <w:jc w:val="center"/>
        </w:trPr>
        <w:tc>
          <w:tcPr>
            <w:tcW w:w="1211" w:type="dxa"/>
          </w:tcPr>
          <w:p w14:paraId="0C46B547">
            <w:pPr>
              <w:snapToGrid w:val="0"/>
              <w:spacing w:line="440" w:lineRule="exact"/>
              <w:jc w:val="center"/>
              <w:rPr>
                <w:rFonts w:ascii="Times New Roman" w:hAnsi="Times New Roman"/>
                <w:color w:val="000000"/>
                <w:szCs w:val="21"/>
              </w:rPr>
            </w:pPr>
            <w:r>
              <w:rPr>
                <w:rFonts w:ascii="Times New Roman" w:hAnsi="Times New Roman"/>
                <w:color w:val="000000"/>
                <w:szCs w:val="21"/>
              </w:rPr>
              <w:t>1</w:t>
            </w:r>
          </w:p>
        </w:tc>
        <w:tc>
          <w:tcPr>
            <w:tcW w:w="3105" w:type="dxa"/>
            <w:vAlign w:val="center"/>
          </w:tcPr>
          <w:p w14:paraId="0FA50EFB">
            <w:pPr>
              <w:snapToGrid w:val="0"/>
              <w:spacing w:line="440" w:lineRule="exact"/>
              <w:jc w:val="center"/>
              <w:rPr>
                <w:rFonts w:ascii="Times New Roman" w:hAnsi="Times New Roman"/>
                <w:color w:val="000000"/>
                <w:szCs w:val="21"/>
              </w:rPr>
            </w:pPr>
            <w:r>
              <w:rPr>
                <w:rFonts w:hint="eastAsia" w:ascii="Times New Roman" w:hAnsi="Times New Roman"/>
                <w:color w:val="000000"/>
                <w:szCs w:val="21"/>
              </w:rPr>
              <w:t>反复启闭耐久性能</w:t>
            </w:r>
          </w:p>
        </w:tc>
        <w:tc>
          <w:tcPr>
            <w:tcW w:w="3565" w:type="dxa"/>
          </w:tcPr>
          <w:p w14:paraId="4A3C70C6">
            <w:pPr>
              <w:spacing w:line="440" w:lineRule="exact"/>
              <w:jc w:val="center"/>
              <w:textAlignment w:val="center"/>
              <w:rPr>
                <w:rFonts w:ascii="Times New Roman" w:hAnsi="Times New Roman"/>
                <w:kern w:val="0"/>
                <w:szCs w:val="21"/>
              </w:rPr>
            </w:pPr>
            <w:r>
              <w:rPr>
                <w:rFonts w:ascii="Times New Roman" w:hAnsi="Times New Roman"/>
                <w:kern w:val="0"/>
                <w:szCs w:val="21"/>
              </w:rPr>
              <w:t>GB 12955</w:t>
            </w:r>
            <w:r>
              <w:rPr>
                <w:rFonts w:hint="eastAsia" w:ascii="Times New Roman" w:hAnsi="Times New Roman"/>
                <w:kern w:val="0"/>
                <w:szCs w:val="21"/>
              </w:rPr>
              <w:t>—</w:t>
            </w:r>
            <w:r>
              <w:rPr>
                <w:rFonts w:ascii="Times New Roman" w:hAnsi="Times New Roman"/>
                <w:kern w:val="0"/>
                <w:szCs w:val="21"/>
              </w:rPr>
              <w:t>20</w:t>
            </w:r>
            <w:r>
              <w:rPr>
                <w:rFonts w:hint="eastAsia" w:ascii="Times New Roman" w:hAnsi="Times New Roman"/>
                <w:kern w:val="0"/>
                <w:szCs w:val="21"/>
              </w:rPr>
              <w:t>24</w:t>
            </w:r>
          </w:p>
        </w:tc>
      </w:tr>
      <w:tr w14:paraId="507663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8" w:hRule="atLeast"/>
          <w:jc w:val="center"/>
        </w:trPr>
        <w:tc>
          <w:tcPr>
            <w:tcW w:w="1211" w:type="dxa"/>
          </w:tcPr>
          <w:p w14:paraId="4344C3CE">
            <w:pPr>
              <w:snapToGrid w:val="0"/>
              <w:spacing w:line="440" w:lineRule="exact"/>
              <w:jc w:val="center"/>
              <w:rPr>
                <w:rFonts w:ascii="Times New Roman" w:hAnsi="Times New Roman"/>
                <w:color w:val="000000"/>
                <w:szCs w:val="21"/>
              </w:rPr>
            </w:pPr>
            <w:r>
              <w:rPr>
                <w:rFonts w:ascii="Times New Roman" w:hAnsi="Times New Roman"/>
                <w:color w:val="000000"/>
                <w:szCs w:val="21"/>
              </w:rPr>
              <w:t>2</w:t>
            </w:r>
          </w:p>
        </w:tc>
        <w:tc>
          <w:tcPr>
            <w:tcW w:w="3105" w:type="dxa"/>
            <w:vAlign w:val="center"/>
          </w:tcPr>
          <w:p w14:paraId="40189046">
            <w:pPr>
              <w:snapToGrid w:val="0"/>
              <w:spacing w:line="440" w:lineRule="exact"/>
              <w:jc w:val="center"/>
              <w:rPr>
                <w:rFonts w:ascii="Times New Roman" w:hAnsi="Times New Roman"/>
                <w:color w:val="000000"/>
                <w:szCs w:val="21"/>
              </w:rPr>
            </w:pPr>
            <w:r>
              <w:rPr>
                <w:rFonts w:ascii="Times New Roman" w:hAnsi="Times New Roman"/>
                <w:color w:val="000000"/>
                <w:szCs w:val="21"/>
              </w:rPr>
              <w:t>耐软重物体撞击性能</w:t>
            </w:r>
          </w:p>
        </w:tc>
        <w:tc>
          <w:tcPr>
            <w:tcW w:w="3565" w:type="dxa"/>
          </w:tcPr>
          <w:p w14:paraId="0963B07D">
            <w:pPr>
              <w:spacing w:line="440" w:lineRule="exact"/>
              <w:jc w:val="center"/>
              <w:textAlignment w:val="center"/>
              <w:rPr>
                <w:rFonts w:ascii="Times New Roman" w:hAnsi="Times New Roman"/>
                <w:kern w:val="0"/>
                <w:szCs w:val="21"/>
              </w:rPr>
            </w:pPr>
            <w:r>
              <w:rPr>
                <w:rFonts w:ascii="Times New Roman" w:hAnsi="Times New Roman"/>
                <w:kern w:val="0"/>
                <w:szCs w:val="21"/>
              </w:rPr>
              <w:t>GB 12955</w:t>
            </w:r>
            <w:r>
              <w:rPr>
                <w:rFonts w:hint="eastAsia" w:ascii="Times New Roman" w:hAnsi="Times New Roman"/>
                <w:kern w:val="0"/>
                <w:szCs w:val="21"/>
              </w:rPr>
              <w:t>—</w:t>
            </w:r>
            <w:r>
              <w:rPr>
                <w:rFonts w:ascii="Times New Roman" w:hAnsi="Times New Roman"/>
                <w:kern w:val="0"/>
                <w:szCs w:val="21"/>
              </w:rPr>
              <w:t>2</w:t>
            </w:r>
            <w:r>
              <w:rPr>
                <w:rFonts w:hint="eastAsia" w:ascii="Times New Roman" w:hAnsi="Times New Roman"/>
                <w:kern w:val="0"/>
                <w:szCs w:val="21"/>
              </w:rPr>
              <w:t>024</w:t>
            </w:r>
          </w:p>
        </w:tc>
      </w:tr>
      <w:tr w14:paraId="3C7CA1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11" w:type="dxa"/>
            <w:vAlign w:val="center"/>
          </w:tcPr>
          <w:p w14:paraId="68E0B399">
            <w:pPr>
              <w:snapToGrid w:val="0"/>
              <w:spacing w:line="440" w:lineRule="exact"/>
              <w:jc w:val="center"/>
              <w:rPr>
                <w:rFonts w:ascii="Times New Roman" w:hAnsi="Times New Roman"/>
                <w:color w:val="000000"/>
                <w:szCs w:val="21"/>
              </w:rPr>
            </w:pPr>
            <w:r>
              <w:rPr>
                <w:rFonts w:ascii="Times New Roman" w:hAnsi="Times New Roman"/>
                <w:color w:val="000000"/>
                <w:szCs w:val="21"/>
              </w:rPr>
              <w:t>3</w:t>
            </w:r>
          </w:p>
        </w:tc>
        <w:tc>
          <w:tcPr>
            <w:tcW w:w="3105" w:type="dxa"/>
            <w:vAlign w:val="center"/>
          </w:tcPr>
          <w:p w14:paraId="0F56F0E4">
            <w:pPr>
              <w:snapToGrid w:val="0"/>
              <w:spacing w:line="440" w:lineRule="exact"/>
              <w:jc w:val="center"/>
              <w:rPr>
                <w:rFonts w:ascii="Times New Roman" w:hAnsi="Times New Roman"/>
                <w:color w:val="000000"/>
                <w:szCs w:val="21"/>
              </w:rPr>
            </w:pPr>
            <w:r>
              <w:rPr>
                <w:rFonts w:ascii="Times New Roman" w:hAnsi="Times New Roman"/>
                <w:color w:val="000000"/>
                <w:szCs w:val="21"/>
              </w:rPr>
              <w:t>耐火性能</w:t>
            </w:r>
          </w:p>
        </w:tc>
        <w:tc>
          <w:tcPr>
            <w:tcW w:w="3565" w:type="dxa"/>
            <w:vAlign w:val="center"/>
          </w:tcPr>
          <w:p w14:paraId="49F592A2">
            <w:pPr>
              <w:spacing w:line="440" w:lineRule="exact"/>
              <w:jc w:val="center"/>
              <w:textAlignment w:val="center"/>
              <w:rPr>
                <w:rFonts w:ascii="Times New Roman" w:hAnsi="Times New Roman"/>
                <w:kern w:val="0"/>
                <w:szCs w:val="21"/>
              </w:rPr>
            </w:pPr>
            <w:r>
              <w:rPr>
                <w:rFonts w:ascii="Times New Roman" w:hAnsi="Times New Roman"/>
                <w:kern w:val="0"/>
                <w:szCs w:val="21"/>
              </w:rPr>
              <w:t>GB 12955</w:t>
            </w:r>
            <w:r>
              <w:rPr>
                <w:rFonts w:hint="eastAsia" w:ascii="Times New Roman" w:hAnsi="Times New Roman"/>
                <w:kern w:val="0"/>
                <w:szCs w:val="21"/>
              </w:rPr>
              <w:t>—</w:t>
            </w:r>
            <w:r>
              <w:rPr>
                <w:rFonts w:ascii="Times New Roman" w:hAnsi="Times New Roman"/>
                <w:kern w:val="0"/>
                <w:szCs w:val="21"/>
              </w:rPr>
              <w:t>20</w:t>
            </w:r>
            <w:r>
              <w:rPr>
                <w:rFonts w:hint="eastAsia" w:ascii="Times New Roman" w:hAnsi="Times New Roman"/>
                <w:kern w:val="0"/>
                <w:szCs w:val="21"/>
              </w:rPr>
              <w:t>24</w:t>
            </w:r>
          </w:p>
          <w:p w14:paraId="15641B6B">
            <w:pPr>
              <w:spacing w:line="440" w:lineRule="exact"/>
              <w:jc w:val="center"/>
              <w:textAlignment w:val="center"/>
              <w:rPr>
                <w:rFonts w:ascii="Times New Roman" w:hAnsi="Times New Roman"/>
                <w:kern w:val="0"/>
                <w:szCs w:val="21"/>
              </w:rPr>
            </w:pPr>
            <w:r>
              <w:rPr>
                <w:rFonts w:ascii="Times New Roman" w:hAnsi="Times New Roman"/>
                <w:kern w:val="0"/>
                <w:szCs w:val="21"/>
              </w:rPr>
              <w:t>GB/T 7633</w:t>
            </w:r>
            <w:r>
              <w:rPr>
                <w:rFonts w:hint="eastAsia" w:ascii="Times New Roman" w:hAnsi="Times New Roman"/>
                <w:kern w:val="0"/>
                <w:szCs w:val="21"/>
              </w:rPr>
              <w:t>—</w:t>
            </w:r>
            <w:r>
              <w:rPr>
                <w:rFonts w:ascii="Times New Roman" w:hAnsi="Times New Roman"/>
                <w:kern w:val="0"/>
                <w:szCs w:val="21"/>
              </w:rPr>
              <w:t>2008</w:t>
            </w:r>
          </w:p>
        </w:tc>
      </w:tr>
      <w:tr w14:paraId="1FA22A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11" w:type="dxa"/>
          </w:tcPr>
          <w:p w14:paraId="2E293DE7">
            <w:pPr>
              <w:snapToGrid w:val="0"/>
              <w:spacing w:line="440" w:lineRule="exact"/>
              <w:jc w:val="center"/>
              <w:rPr>
                <w:rFonts w:ascii="Times New Roman" w:hAnsi="Times New Roman"/>
                <w:color w:val="000000"/>
                <w:szCs w:val="21"/>
              </w:rPr>
            </w:pPr>
            <w:r>
              <w:rPr>
                <w:rFonts w:hint="eastAsia" w:ascii="Times New Roman" w:hAnsi="Times New Roman"/>
                <w:color w:val="000000"/>
                <w:szCs w:val="21"/>
              </w:rPr>
              <w:t>4</w:t>
            </w:r>
          </w:p>
        </w:tc>
        <w:tc>
          <w:tcPr>
            <w:tcW w:w="3105" w:type="dxa"/>
          </w:tcPr>
          <w:p w14:paraId="7F38924B">
            <w:pPr>
              <w:snapToGrid w:val="0"/>
              <w:spacing w:line="440" w:lineRule="exact"/>
              <w:jc w:val="center"/>
              <w:rPr>
                <w:rFonts w:ascii="Times New Roman" w:hAnsi="Times New Roman"/>
                <w:color w:val="000000"/>
                <w:szCs w:val="21"/>
              </w:rPr>
            </w:pPr>
            <w:r>
              <w:rPr>
                <w:rFonts w:hint="eastAsia" w:ascii="Times New Roman" w:hAnsi="Times New Roman"/>
                <w:color w:val="000000"/>
                <w:szCs w:val="21"/>
              </w:rPr>
              <w:t>锁具及</w:t>
            </w:r>
            <w:r>
              <w:rPr>
                <w:rFonts w:ascii="Times New Roman" w:hAnsi="Times New Roman"/>
                <w:color w:val="000000"/>
                <w:szCs w:val="21"/>
              </w:rPr>
              <w:t>铰链（合页）耐火性能</w:t>
            </w:r>
          </w:p>
        </w:tc>
        <w:tc>
          <w:tcPr>
            <w:tcW w:w="3565" w:type="dxa"/>
          </w:tcPr>
          <w:p w14:paraId="38513D1C">
            <w:pPr>
              <w:spacing w:line="440" w:lineRule="exact"/>
              <w:jc w:val="center"/>
              <w:textAlignment w:val="center"/>
              <w:rPr>
                <w:rFonts w:ascii="Times New Roman" w:hAnsi="Times New Roman"/>
                <w:kern w:val="0"/>
                <w:szCs w:val="21"/>
              </w:rPr>
            </w:pPr>
            <w:r>
              <w:rPr>
                <w:rFonts w:ascii="Times New Roman" w:hAnsi="Times New Roman"/>
                <w:kern w:val="0"/>
                <w:szCs w:val="21"/>
              </w:rPr>
              <w:t>GB 12955</w:t>
            </w:r>
            <w:r>
              <w:rPr>
                <w:rFonts w:hint="eastAsia" w:ascii="Times New Roman" w:hAnsi="Times New Roman"/>
                <w:kern w:val="0"/>
                <w:szCs w:val="21"/>
              </w:rPr>
              <w:t>—</w:t>
            </w:r>
            <w:r>
              <w:rPr>
                <w:rFonts w:ascii="Times New Roman" w:hAnsi="Times New Roman"/>
                <w:kern w:val="0"/>
                <w:szCs w:val="21"/>
              </w:rPr>
              <w:t>20</w:t>
            </w:r>
            <w:r>
              <w:rPr>
                <w:rFonts w:hint="eastAsia" w:ascii="Times New Roman" w:hAnsi="Times New Roman"/>
                <w:kern w:val="0"/>
                <w:szCs w:val="21"/>
              </w:rPr>
              <w:t>24</w:t>
            </w:r>
          </w:p>
        </w:tc>
      </w:tr>
    </w:tbl>
    <w:p w14:paraId="318BCECE">
      <w:pPr>
        <w:adjustRightInd w:val="0"/>
        <w:snapToGrid w:val="0"/>
        <w:spacing w:line="440" w:lineRule="exact"/>
        <w:ind w:firstLine="420" w:firstLineChars="200"/>
        <w:rPr>
          <w:rFonts w:ascii="Times New Roman" w:hAnsi="Times New Roman"/>
          <w:szCs w:val="21"/>
        </w:rPr>
      </w:pPr>
      <w:r>
        <w:rPr>
          <w:rFonts w:hint="eastAsia" w:ascii="Times New Roman" w:hAnsi="Times New Roman"/>
          <w:szCs w:val="21"/>
        </w:rPr>
        <w:t>执行企业标准、团体标准、地方标准的产品，检验项目参照上述内容执行。</w:t>
      </w:r>
    </w:p>
    <w:p w14:paraId="5B898382">
      <w:pPr>
        <w:snapToGrid w:val="0"/>
        <w:spacing w:line="440" w:lineRule="exact"/>
        <w:ind w:firstLine="420" w:firstLineChars="200"/>
        <w:rPr>
          <w:rFonts w:ascii="Times New Roman" w:hAnsi="Times New Roman"/>
          <w:szCs w:val="21"/>
        </w:rPr>
      </w:pPr>
      <w:r>
        <w:rPr>
          <w:rFonts w:ascii="Times New Roman" w:hAnsi="Times New Roman"/>
          <w:szCs w:val="21"/>
        </w:rPr>
        <w:t>凡是注日期的文件，其随后所有的修改单（不包括勘误的内容）或修订版不适用于本细则。凡是不注日期的文件，其最新版本适用于本细则。</w:t>
      </w:r>
    </w:p>
    <w:p w14:paraId="458707CA">
      <w:pPr>
        <w:spacing w:line="440" w:lineRule="exact"/>
        <w:rPr>
          <w:rFonts w:ascii="Times New Roman" w:hAnsi="Times New Roman" w:eastAsia="黑体"/>
          <w:szCs w:val="21"/>
        </w:rPr>
      </w:pPr>
      <w:r>
        <w:rPr>
          <w:rFonts w:ascii="Times New Roman" w:hAnsi="Times New Roman" w:eastAsia="黑体"/>
          <w:szCs w:val="21"/>
        </w:rPr>
        <w:t>3 判定规则</w:t>
      </w:r>
    </w:p>
    <w:p w14:paraId="6842A9FF">
      <w:pPr>
        <w:snapToGrid w:val="0"/>
        <w:spacing w:line="440" w:lineRule="exact"/>
        <w:rPr>
          <w:rFonts w:ascii="Times New Roman" w:hAnsi="Times New Roman"/>
          <w:szCs w:val="21"/>
        </w:rPr>
      </w:pPr>
      <w:r>
        <w:rPr>
          <w:rFonts w:ascii="Times New Roman" w:hAnsi="Times New Roman"/>
          <w:szCs w:val="21"/>
        </w:rPr>
        <w:t>3.1依据标准</w:t>
      </w:r>
    </w:p>
    <w:p w14:paraId="60807EC4">
      <w:pPr>
        <w:snapToGrid w:val="0"/>
        <w:spacing w:line="440" w:lineRule="exact"/>
        <w:ind w:firstLine="420" w:firstLineChars="200"/>
        <w:rPr>
          <w:rFonts w:ascii="Times New Roman" w:hAnsi="Times New Roman"/>
          <w:szCs w:val="21"/>
        </w:rPr>
      </w:pPr>
      <w:r>
        <w:rPr>
          <w:rFonts w:hint="eastAsia" w:ascii="Times New Roman" w:hAnsi="Times New Roman"/>
          <w:szCs w:val="21"/>
        </w:rPr>
        <w:t>GB 12955-2008  防火门</w:t>
      </w:r>
    </w:p>
    <w:p w14:paraId="4814E383">
      <w:pPr>
        <w:snapToGrid w:val="0"/>
        <w:spacing w:line="440" w:lineRule="exact"/>
        <w:ind w:firstLine="420" w:firstLineChars="200"/>
        <w:rPr>
          <w:rFonts w:ascii="Times New Roman" w:hAnsi="Times New Roman"/>
          <w:szCs w:val="21"/>
        </w:rPr>
      </w:pPr>
      <w:r>
        <w:rPr>
          <w:rFonts w:hint="eastAsia" w:ascii="Times New Roman" w:hAnsi="Times New Roman"/>
          <w:szCs w:val="21"/>
        </w:rPr>
        <w:t>GB 12955-2024  防火门</w:t>
      </w:r>
    </w:p>
    <w:p w14:paraId="3C8C0AF5">
      <w:pPr>
        <w:snapToGrid w:val="0"/>
        <w:spacing w:line="440" w:lineRule="exact"/>
        <w:ind w:firstLine="420" w:firstLineChars="200"/>
        <w:rPr>
          <w:rFonts w:ascii="Times New Roman" w:hAnsi="Times New Roman"/>
          <w:color w:val="000000"/>
          <w:szCs w:val="21"/>
        </w:rPr>
      </w:pPr>
      <w:r>
        <w:rPr>
          <w:rFonts w:hint="eastAsia" w:ascii="Times New Roman" w:hAnsi="Times New Roman"/>
          <w:color w:val="000000"/>
          <w:szCs w:val="21"/>
        </w:rPr>
        <w:t>现行有效的企业标准、团体标准、地方标准及产品明示质量要求</w:t>
      </w:r>
    </w:p>
    <w:p w14:paraId="638D261A">
      <w:pPr>
        <w:snapToGrid w:val="0"/>
        <w:spacing w:line="440" w:lineRule="exact"/>
        <w:rPr>
          <w:rFonts w:ascii="Times New Roman" w:hAnsi="Times New Roman"/>
          <w:szCs w:val="21"/>
        </w:rPr>
      </w:pPr>
      <w:r>
        <w:rPr>
          <w:rFonts w:ascii="Times New Roman" w:hAnsi="Times New Roman"/>
          <w:szCs w:val="21"/>
        </w:rPr>
        <w:t>3.2判定原则</w:t>
      </w:r>
    </w:p>
    <w:p w14:paraId="38FBB020">
      <w:pPr>
        <w:snapToGrid w:val="0"/>
        <w:spacing w:line="440" w:lineRule="exact"/>
        <w:ind w:firstLine="420" w:firstLineChars="200"/>
        <w:rPr>
          <w:rFonts w:ascii="Times New Roman" w:hAnsi="Times New Roman"/>
          <w:szCs w:val="21"/>
        </w:rPr>
      </w:pPr>
      <w:r>
        <w:rPr>
          <w:rFonts w:ascii="Times New Roman" w:hAnsi="Times New Roman"/>
          <w:szCs w:val="21"/>
        </w:rPr>
        <w:t>经检验，检验项目全部合格，判定为被抽查产品</w:t>
      </w:r>
      <w:r>
        <w:rPr>
          <w:rFonts w:hint="eastAsia" w:ascii="Times New Roman" w:hAnsi="Times New Roman"/>
          <w:szCs w:val="21"/>
        </w:rPr>
        <w:t>所检项目未发现</w:t>
      </w:r>
      <w:r>
        <w:rPr>
          <w:rFonts w:ascii="Times New Roman" w:hAnsi="Times New Roman"/>
          <w:szCs w:val="21"/>
        </w:rPr>
        <w:t>合格；检验项目中任一项或一项以上不合格，判定为被抽查产品不合格。</w:t>
      </w:r>
    </w:p>
    <w:p w14:paraId="2AA09F0E">
      <w:pPr>
        <w:snapToGrid w:val="0"/>
        <w:spacing w:line="440" w:lineRule="exact"/>
        <w:ind w:firstLine="420" w:firstLineChars="200"/>
        <w:rPr>
          <w:rFonts w:ascii="Times New Roman" w:hAnsi="Times New Roman"/>
          <w:szCs w:val="21"/>
        </w:rPr>
      </w:pPr>
      <w:r>
        <w:rPr>
          <w:rFonts w:ascii="Times New Roman" w:hAnsi="Times New Roman"/>
          <w:szCs w:val="21"/>
        </w:rPr>
        <w:t>若被检产品明示的质量要求高于本细则中检验项目依据的标准要求时，应按被检产品明示的质量要求判定。</w:t>
      </w:r>
    </w:p>
    <w:p w14:paraId="6F02B759">
      <w:pPr>
        <w:snapToGrid w:val="0"/>
        <w:spacing w:line="440" w:lineRule="exact"/>
        <w:ind w:firstLine="420" w:firstLineChars="200"/>
        <w:rPr>
          <w:rFonts w:ascii="Times New Roman" w:hAnsi="Times New Roman"/>
          <w:szCs w:val="21"/>
        </w:rPr>
      </w:pPr>
      <w:r>
        <w:rPr>
          <w:rFonts w:ascii="Times New Roman" w:hAnsi="Times New Roman"/>
          <w:szCs w:val="21"/>
        </w:rPr>
        <w:t>若被检产品明示的质量要求低于本细则中检验项目依据的强制性标准要求时，应按照强制性标准要求判定。</w:t>
      </w:r>
    </w:p>
    <w:p w14:paraId="5640B450">
      <w:pPr>
        <w:snapToGrid w:val="0"/>
        <w:spacing w:line="440" w:lineRule="exact"/>
        <w:ind w:firstLine="420" w:firstLineChars="200"/>
        <w:rPr>
          <w:rFonts w:ascii="Times New Roman" w:hAnsi="Times New Roman"/>
          <w:szCs w:val="21"/>
        </w:rPr>
      </w:pPr>
      <w:r>
        <w:rPr>
          <w:rFonts w:ascii="Times New Roman" w:hAnsi="Times New Roman"/>
          <w:szCs w:val="21"/>
        </w:rPr>
        <w:t>若被检产品明示的质量要求低于或包含本细则中检验项目依据的推荐性标准要求时，应以被检产品明示的质量要求判定。</w:t>
      </w:r>
    </w:p>
    <w:p w14:paraId="0B5238F5">
      <w:pPr>
        <w:snapToGrid w:val="0"/>
        <w:spacing w:line="440" w:lineRule="exact"/>
        <w:ind w:firstLine="420" w:firstLineChars="200"/>
        <w:rPr>
          <w:rFonts w:ascii="Times New Roman" w:hAnsi="Times New Roman"/>
          <w:szCs w:val="21"/>
        </w:rPr>
      </w:pPr>
      <w:r>
        <w:rPr>
          <w:rFonts w:ascii="Times New Roman" w:hAnsi="Times New Roman"/>
          <w:szCs w:val="21"/>
        </w:rPr>
        <w:t>若被检产品明示的质量要求缺少本细则中检验项目依据的强制性标准要求时，应按照强制性标准要求判定。</w:t>
      </w:r>
    </w:p>
    <w:p w14:paraId="6C5FC4F3">
      <w:pPr>
        <w:snapToGrid w:val="0"/>
        <w:spacing w:line="440" w:lineRule="exact"/>
        <w:ind w:firstLine="417" w:firstLineChars="199"/>
        <w:rPr>
          <w:rFonts w:ascii="Times New Roman" w:hAnsi="Times New Roman"/>
          <w:szCs w:val="21"/>
        </w:rPr>
      </w:pPr>
      <w:r>
        <w:rPr>
          <w:rFonts w:ascii="Times New Roman" w:hAnsi="Times New Roman"/>
          <w:szCs w:val="21"/>
        </w:rPr>
        <w:t>若被检产品明示的质量要求缺少本细则中检验项目依据的推荐性标准要求时，该项目不参与判定</w:t>
      </w:r>
      <w:r>
        <w:rPr>
          <w:rFonts w:hint="eastAsia" w:ascii="Times New Roman" w:hAnsi="Times New Roman"/>
          <w:szCs w:val="21"/>
        </w:rPr>
        <w:t>。</w:t>
      </w:r>
    </w:p>
    <w:sectPr>
      <w:footerReference r:id="rId3" w:type="even"/>
      <w:pgSz w:w="11906" w:h="16838"/>
      <w:pgMar w:top="1701" w:right="1644" w:bottom="1701" w:left="1644" w:header="851" w:footer="992" w:gutter="0"/>
      <w:pgNumType w:fmt="numberInDash"/>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简体">
    <w:panose1 w:val="03000509000000000000"/>
    <w:charset w:val="86"/>
    <w:family w:val="auto"/>
    <w:pitch w:val="default"/>
    <w:sig w:usb0="00000001" w:usb1="080E0000" w:usb2="00000000" w:usb3="00000000" w:csb0="00040000" w:csb1="00000000"/>
  </w:font>
  <w:font w:name="方正仿宋简体">
    <w:altName w:val="微软雅黑"/>
    <w:panose1 w:val="00000000000000000000"/>
    <w:charset w:val="86"/>
    <w:family w:val="auto"/>
    <w:pitch w:val="default"/>
    <w:sig w:usb0="00000000" w:usb1="00000000" w:usb2="00000012" w:usb3="00000000" w:csb0="00040001" w:csb1="00000000"/>
  </w:font>
  <w:font w:name="微软雅黑">
    <w:panose1 w:val="020B0503020204020204"/>
    <w:charset w:val="86"/>
    <w:family w:val="swiss"/>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C37D55">
    <w:pPr>
      <w:pStyle w:val="4"/>
      <w:framePr w:wrap="around" w:vAnchor="text" w:hAnchor="margin" w:xAlign="center" w:y="1"/>
      <w:rPr>
        <w:rStyle w:val="10"/>
      </w:rPr>
    </w:pPr>
    <w:r>
      <w:fldChar w:fldCharType="begin"/>
    </w:r>
    <w:r>
      <w:rPr>
        <w:rStyle w:val="10"/>
      </w:rPr>
      <w:instrText xml:space="preserve">PAGE  </w:instrText>
    </w:r>
    <w:r>
      <w:fldChar w:fldCharType="end"/>
    </w:r>
  </w:p>
  <w:p w14:paraId="49ABF0F5">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k2NmVlYTBlZTAwM2YyMGZkYzQzNzBhMjA3ZjVhY2UifQ=="/>
  </w:docVars>
  <w:rsids>
    <w:rsidRoot w:val="00CE7A3C"/>
    <w:rsid w:val="000250CB"/>
    <w:rsid w:val="00035295"/>
    <w:rsid w:val="00063E6C"/>
    <w:rsid w:val="000858BC"/>
    <w:rsid w:val="000B7246"/>
    <w:rsid w:val="000C7985"/>
    <w:rsid w:val="000E0960"/>
    <w:rsid w:val="00115E42"/>
    <w:rsid w:val="001231E0"/>
    <w:rsid w:val="00152127"/>
    <w:rsid w:val="00160A40"/>
    <w:rsid w:val="0016744D"/>
    <w:rsid w:val="00183DF2"/>
    <w:rsid w:val="001D79B7"/>
    <w:rsid w:val="0022047C"/>
    <w:rsid w:val="002A00BD"/>
    <w:rsid w:val="003226D8"/>
    <w:rsid w:val="00356321"/>
    <w:rsid w:val="003627DF"/>
    <w:rsid w:val="003740BF"/>
    <w:rsid w:val="00385221"/>
    <w:rsid w:val="003A35D8"/>
    <w:rsid w:val="003D045D"/>
    <w:rsid w:val="003E2406"/>
    <w:rsid w:val="003F22E4"/>
    <w:rsid w:val="003F55F3"/>
    <w:rsid w:val="004443C7"/>
    <w:rsid w:val="00464003"/>
    <w:rsid w:val="00464765"/>
    <w:rsid w:val="004A0C5C"/>
    <w:rsid w:val="004A6D65"/>
    <w:rsid w:val="004B5CA2"/>
    <w:rsid w:val="004B6062"/>
    <w:rsid w:val="004D4755"/>
    <w:rsid w:val="0052312A"/>
    <w:rsid w:val="0056090F"/>
    <w:rsid w:val="0056181D"/>
    <w:rsid w:val="00564F31"/>
    <w:rsid w:val="005650CA"/>
    <w:rsid w:val="0059262E"/>
    <w:rsid w:val="005E78DD"/>
    <w:rsid w:val="006167E6"/>
    <w:rsid w:val="006A59B8"/>
    <w:rsid w:val="006D083D"/>
    <w:rsid w:val="006E1435"/>
    <w:rsid w:val="00727D45"/>
    <w:rsid w:val="00732B06"/>
    <w:rsid w:val="00784947"/>
    <w:rsid w:val="00784ECC"/>
    <w:rsid w:val="0079079B"/>
    <w:rsid w:val="007923F2"/>
    <w:rsid w:val="007D5B14"/>
    <w:rsid w:val="008B7736"/>
    <w:rsid w:val="008E2605"/>
    <w:rsid w:val="008E6A7A"/>
    <w:rsid w:val="0094651A"/>
    <w:rsid w:val="009D0B49"/>
    <w:rsid w:val="009D3871"/>
    <w:rsid w:val="009E3134"/>
    <w:rsid w:val="00A63F91"/>
    <w:rsid w:val="00A86C22"/>
    <w:rsid w:val="00AC4C6B"/>
    <w:rsid w:val="00AC5B64"/>
    <w:rsid w:val="00AD3EBB"/>
    <w:rsid w:val="00AE7467"/>
    <w:rsid w:val="00B461A1"/>
    <w:rsid w:val="00B5765C"/>
    <w:rsid w:val="00BA2BCF"/>
    <w:rsid w:val="00BB473C"/>
    <w:rsid w:val="00C124F2"/>
    <w:rsid w:val="00C765EA"/>
    <w:rsid w:val="00C959A2"/>
    <w:rsid w:val="00CB4CFA"/>
    <w:rsid w:val="00CC3433"/>
    <w:rsid w:val="00CD0567"/>
    <w:rsid w:val="00CD1DFA"/>
    <w:rsid w:val="00CE7A3C"/>
    <w:rsid w:val="00D11AB1"/>
    <w:rsid w:val="00D17221"/>
    <w:rsid w:val="00D25C6C"/>
    <w:rsid w:val="00D55081"/>
    <w:rsid w:val="00D55193"/>
    <w:rsid w:val="00D860AC"/>
    <w:rsid w:val="00DA2AEF"/>
    <w:rsid w:val="00DB4433"/>
    <w:rsid w:val="00DD3CC0"/>
    <w:rsid w:val="00DE27E4"/>
    <w:rsid w:val="00DF04B4"/>
    <w:rsid w:val="00E17EE0"/>
    <w:rsid w:val="00E27295"/>
    <w:rsid w:val="00E55B5C"/>
    <w:rsid w:val="00E720D8"/>
    <w:rsid w:val="00E81CDA"/>
    <w:rsid w:val="00E97A62"/>
    <w:rsid w:val="00EC602B"/>
    <w:rsid w:val="00ED0F75"/>
    <w:rsid w:val="00EE1B3C"/>
    <w:rsid w:val="00F1617D"/>
    <w:rsid w:val="00F25573"/>
    <w:rsid w:val="00F34949"/>
    <w:rsid w:val="00F35FF2"/>
    <w:rsid w:val="00F806BC"/>
    <w:rsid w:val="00F911BA"/>
    <w:rsid w:val="00FA474F"/>
    <w:rsid w:val="00FC5AA5"/>
    <w:rsid w:val="00FC626B"/>
    <w:rsid w:val="00FF33CE"/>
    <w:rsid w:val="026C5C88"/>
    <w:rsid w:val="0A7C6F3F"/>
    <w:rsid w:val="0C7524DA"/>
    <w:rsid w:val="14BC550F"/>
    <w:rsid w:val="150243CF"/>
    <w:rsid w:val="183D15CD"/>
    <w:rsid w:val="22C439A8"/>
    <w:rsid w:val="232259B1"/>
    <w:rsid w:val="235D3F0B"/>
    <w:rsid w:val="25F63A90"/>
    <w:rsid w:val="2692593F"/>
    <w:rsid w:val="2EBD4E5E"/>
    <w:rsid w:val="33935754"/>
    <w:rsid w:val="396C04C1"/>
    <w:rsid w:val="3C0D261B"/>
    <w:rsid w:val="4166035D"/>
    <w:rsid w:val="42910561"/>
    <w:rsid w:val="438E1DC6"/>
    <w:rsid w:val="46EC695D"/>
    <w:rsid w:val="495F0FDE"/>
    <w:rsid w:val="4F4677F4"/>
    <w:rsid w:val="575368DE"/>
    <w:rsid w:val="5BA54263"/>
    <w:rsid w:val="5C8916E0"/>
    <w:rsid w:val="5E0C1323"/>
    <w:rsid w:val="64795926"/>
    <w:rsid w:val="66567E48"/>
    <w:rsid w:val="67C52C48"/>
    <w:rsid w:val="6AE25762"/>
    <w:rsid w:val="6AF21B11"/>
    <w:rsid w:val="6E7039B0"/>
    <w:rsid w:val="76885CB4"/>
    <w:rsid w:val="7A1547FD"/>
    <w:rsid w:val="7B710DFB"/>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5"/>
    <w:semiHidden/>
    <w:unhideWhenUsed/>
    <w:qFormat/>
    <w:uiPriority w:val="99"/>
    <w:pPr>
      <w:jc w:val="left"/>
    </w:pPr>
  </w:style>
  <w:style w:type="paragraph" w:styleId="3">
    <w:name w:val="Balloon Text"/>
    <w:basedOn w:val="1"/>
    <w:link w:val="14"/>
    <w:semiHidden/>
    <w:unhideWhenUsed/>
    <w:qFormat/>
    <w:uiPriority w:val="99"/>
    <w:rPr>
      <w:sz w:val="18"/>
      <w:szCs w:val="18"/>
    </w:rPr>
  </w:style>
  <w:style w:type="paragraph" w:styleId="4">
    <w:name w:val="footer"/>
    <w:basedOn w:val="1"/>
    <w:link w:val="13"/>
    <w:unhideWhenUsed/>
    <w:qFormat/>
    <w:uiPriority w:val="0"/>
    <w:pPr>
      <w:tabs>
        <w:tab w:val="center" w:pos="4153"/>
        <w:tab w:val="right" w:pos="8306"/>
      </w:tabs>
      <w:snapToGrid w:val="0"/>
      <w:jc w:val="left"/>
    </w:pPr>
    <w:rPr>
      <w:rFonts w:asciiTheme="minorHAnsi" w:hAnsiTheme="minorHAnsi" w:eastAsiaTheme="minorEastAsia" w:cstheme="minorBidi"/>
      <w:sz w:val="18"/>
      <w:szCs w:val="18"/>
    </w:rPr>
  </w:style>
  <w:style w:type="paragraph" w:styleId="5">
    <w:name w:val="header"/>
    <w:basedOn w:val="1"/>
    <w:link w:val="12"/>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6">
    <w:name w:val="annotation subject"/>
    <w:basedOn w:val="2"/>
    <w:next w:val="2"/>
    <w:link w:val="16"/>
    <w:semiHidden/>
    <w:unhideWhenUsed/>
    <w:qFormat/>
    <w:uiPriority w:val="99"/>
    <w:rPr>
      <w:b/>
      <w:bCs/>
    </w:rPr>
  </w:style>
  <w:style w:type="table" w:styleId="8">
    <w:name w:val="Table Grid"/>
    <w:basedOn w:val="7"/>
    <w:qFormat/>
    <w:uiPriority w:val="0"/>
    <w:pPr>
      <w:widowControl w:val="0"/>
      <w:jc w:val="both"/>
    </w:pPr>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page number"/>
    <w:basedOn w:val="9"/>
    <w:qFormat/>
    <w:uiPriority w:val="0"/>
  </w:style>
  <w:style w:type="character" w:styleId="11">
    <w:name w:val="annotation reference"/>
    <w:basedOn w:val="9"/>
    <w:semiHidden/>
    <w:unhideWhenUsed/>
    <w:qFormat/>
    <w:uiPriority w:val="99"/>
    <w:rPr>
      <w:sz w:val="21"/>
      <w:szCs w:val="21"/>
    </w:rPr>
  </w:style>
  <w:style w:type="character" w:customStyle="1" w:styleId="12">
    <w:name w:val="页眉 字符"/>
    <w:basedOn w:val="9"/>
    <w:link w:val="5"/>
    <w:qFormat/>
    <w:uiPriority w:val="99"/>
    <w:rPr>
      <w:sz w:val="18"/>
      <w:szCs w:val="18"/>
    </w:rPr>
  </w:style>
  <w:style w:type="character" w:customStyle="1" w:styleId="13">
    <w:name w:val="页脚 字符"/>
    <w:basedOn w:val="9"/>
    <w:link w:val="4"/>
    <w:qFormat/>
    <w:uiPriority w:val="0"/>
    <w:rPr>
      <w:sz w:val="18"/>
      <w:szCs w:val="18"/>
    </w:rPr>
  </w:style>
  <w:style w:type="character" w:customStyle="1" w:styleId="14">
    <w:name w:val="批注框文本 字符"/>
    <w:basedOn w:val="9"/>
    <w:link w:val="3"/>
    <w:semiHidden/>
    <w:qFormat/>
    <w:uiPriority w:val="99"/>
    <w:rPr>
      <w:rFonts w:ascii="Times New Roman" w:hAnsi="Times New Roman" w:eastAsia="宋体" w:cs="Times New Roman"/>
      <w:kern w:val="2"/>
      <w:sz w:val="18"/>
      <w:szCs w:val="18"/>
    </w:rPr>
  </w:style>
  <w:style w:type="character" w:customStyle="1" w:styleId="15">
    <w:name w:val="批注文字 字符"/>
    <w:basedOn w:val="9"/>
    <w:link w:val="2"/>
    <w:semiHidden/>
    <w:qFormat/>
    <w:uiPriority w:val="99"/>
    <w:rPr>
      <w:rFonts w:ascii="Times New Roman" w:hAnsi="Times New Roman" w:eastAsia="宋体" w:cs="Times New Roman"/>
      <w:kern w:val="2"/>
      <w:sz w:val="21"/>
      <w:szCs w:val="24"/>
    </w:rPr>
  </w:style>
  <w:style w:type="character" w:customStyle="1" w:styleId="16">
    <w:name w:val="批注主题 字符"/>
    <w:basedOn w:val="15"/>
    <w:link w:val="6"/>
    <w:semiHidden/>
    <w:qFormat/>
    <w:uiPriority w:val="99"/>
    <w:rPr>
      <w:rFonts w:ascii="Times New Roman" w:hAnsi="Times New Roman" w:eastAsia="宋体" w:cs="Times New Roman"/>
      <w:b/>
      <w:bCs/>
      <w:kern w:val="2"/>
      <w:sz w:val="21"/>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57FC69-C71D-42F3-A47A-4191D8406053}">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2</Pages>
  <Words>721</Words>
  <Characters>863</Characters>
  <Lines>45</Lines>
  <Paragraphs>66</Paragraphs>
  <TotalTime>0</TotalTime>
  <ScaleCrop>false</ScaleCrop>
  <LinksUpToDate>false</LinksUpToDate>
  <CharactersWithSpaces>887</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2020-12-11T09:52:00Z</dcterms:created>
  <dc:creator>李楠</dc:creator>
  <cp:lastModifiedBy>阳</cp:lastModifiedBy>
  <cp:lastPrinted>2020-03-09T04:05:00Z</cp:lastPrinted>
  <dcterms:modified xsi:type="dcterms:W3CDTF">2026-03-30T08:27:15Z</dcterms:modified>
  <cp:revision>29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DCF4C8184C724C43A45DFCDC33CB6875_13</vt:lpwstr>
  </property>
  <property fmtid="{D5CDD505-2E9C-101B-9397-08002B2CF9AE}" pid="4" name="KSOTemplateDocerSaveRecord">
    <vt:lpwstr>eyJoZGlkIjoiOThhNmI2MmI4ZjU5NGViYmY4NzY2MWM2N2MxM2Y4YWMiLCJ1c2VySWQiOiIzODYwOTUwMzMifQ==</vt:lpwstr>
  </property>
</Properties>
</file>