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0E72A">
      <w:pPr>
        <w:adjustRightInd w:val="0"/>
        <w:snapToGrid w:val="0"/>
        <w:spacing w:line="440" w:lineRule="exact"/>
        <w:jc w:val="center"/>
        <w:rPr>
          <w:rFonts w:ascii="Times New Roman" w:hAnsi="Times New Roman" w:eastAsia="方正小标宋简体" w:cs="方正仿宋简体"/>
          <w:sz w:val="32"/>
          <w:szCs w:val="32"/>
        </w:rPr>
      </w:pPr>
      <w:bookmarkStart w:id="0" w:name="_GoBack"/>
      <w:r>
        <w:rPr>
          <w:rFonts w:hint="eastAsia" w:ascii="Times New Roman" w:hAnsi="Times New Roman" w:eastAsia="方正小标宋简体" w:cs="方正仿宋简体"/>
          <w:sz w:val="32"/>
          <w:szCs w:val="32"/>
        </w:rPr>
        <w:t>沈阳市</w:t>
      </w:r>
      <w:r>
        <w:rPr>
          <w:rFonts w:hint="eastAsia" w:ascii="Times New Roman" w:hAnsi="Times New Roman" w:eastAsia="方正小标宋简体" w:cs="方正仿宋简体"/>
          <w:sz w:val="32"/>
          <w:szCs w:val="32"/>
          <w:lang w:val="en-US" w:eastAsia="zh-CN"/>
        </w:rPr>
        <w:t>防爆电气</w:t>
      </w:r>
      <w:r>
        <w:rPr>
          <w:rFonts w:hint="eastAsia" w:ascii="Times New Roman" w:hAnsi="Times New Roman" w:eastAsia="方正小标宋简体" w:cs="方正仿宋简体"/>
          <w:sz w:val="32"/>
          <w:szCs w:val="32"/>
        </w:rPr>
        <w:t>产品质量监督抽查实施细则</w:t>
      </w:r>
    </w:p>
    <w:p w14:paraId="1C76A9B6">
      <w:pPr>
        <w:snapToGrid w:val="0"/>
        <w:spacing w:line="440" w:lineRule="exact"/>
        <w:rPr>
          <w:rFonts w:ascii="Times New Roman" w:hAnsi="Times New Roman" w:eastAsia="黑体"/>
          <w:szCs w:val="21"/>
        </w:rPr>
      </w:pPr>
    </w:p>
    <w:p w14:paraId="60090247">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6C4F2A81">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w:t>
      </w:r>
      <w:r>
        <w:rPr>
          <w:rFonts w:hint="eastAsia" w:ascii="Times New Roman" w:hAnsi="Times New Roman"/>
          <w:szCs w:val="21"/>
          <w:lang w:eastAsia="zh-CN"/>
        </w:rPr>
        <w:t>生产者、销售者</w:t>
      </w:r>
      <w:r>
        <w:rPr>
          <w:rFonts w:ascii="Times New Roman" w:hAnsi="Times New Roman"/>
          <w:szCs w:val="21"/>
        </w:rPr>
        <w:t>的待销产品中抽取。</w:t>
      </w:r>
    </w:p>
    <w:p w14:paraId="680CBF61">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313E6182">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每批次产品抽取样品2台，其中1台作为检验样品，1台作为备用样品。</w:t>
      </w:r>
    </w:p>
    <w:p w14:paraId="076FA3F6">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4B304E56">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 防爆电机</w:t>
      </w:r>
    </w:p>
    <w:tbl>
      <w:tblPr>
        <w:tblStyle w:val="7"/>
        <w:tblW w:w="8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507"/>
        <w:gridCol w:w="1584"/>
        <w:gridCol w:w="3723"/>
      </w:tblGrid>
      <w:tr w14:paraId="17C64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40" w:type="dxa"/>
            <w:vAlign w:val="top"/>
          </w:tcPr>
          <w:p w14:paraId="06CC07B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序号</w:t>
            </w:r>
          </w:p>
        </w:tc>
        <w:tc>
          <w:tcPr>
            <w:tcW w:w="4091" w:type="dxa"/>
            <w:gridSpan w:val="2"/>
            <w:vAlign w:val="top"/>
          </w:tcPr>
          <w:p w14:paraId="527ED399">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检验项目</w:t>
            </w:r>
          </w:p>
        </w:tc>
        <w:tc>
          <w:tcPr>
            <w:tcW w:w="3723" w:type="dxa"/>
            <w:vAlign w:val="top"/>
          </w:tcPr>
          <w:p w14:paraId="00D8183A">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检验方法</w:t>
            </w:r>
          </w:p>
        </w:tc>
      </w:tr>
      <w:tr w14:paraId="0D7C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634E5C9D">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1</w:t>
            </w:r>
          </w:p>
        </w:tc>
        <w:tc>
          <w:tcPr>
            <w:tcW w:w="4091" w:type="dxa"/>
            <w:gridSpan w:val="2"/>
            <w:vAlign w:val="center"/>
          </w:tcPr>
          <w:p w14:paraId="54350AB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抗冲击试验</w:t>
            </w:r>
          </w:p>
        </w:tc>
        <w:tc>
          <w:tcPr>
            <w:tcW w:w="3723" w:type="dxa"/>
            <w:vAlign w:val="center"/>
          </w:tcPr>
          <w:p w14:paraId="302B6AEE">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7C90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740" w:type="dxa"/>
            <w:vAlign w:val="center"/>
          </w:tcPr>
          <w:p w14:paraId="2117B4E2">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2</w:t>
            </w:r>
          </w:p>
        </w:tc>
        <w:tc>
          <w:tcPr>
            <w:tcW w:w="4091" w:type="dxa"/>
            <w:gridSpan w:val="2"/>
            <w:vAlign w:val="center"/>
          </w:tcPr>
          <w:p w14:paraId="2E495AC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电气间隙</w:t>
            </w:r>
          </w:p>
        </w:tc>
        <w:tc>
          <w:tcPr>
            <w:tcW w:w="3723" w:type="dxa"/>
            <w:vAlign w:val="center"/>
          </w:tcPr>
          <w:p w14:paraId="34F87EC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6A94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6119D93A">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3</w:t>
            </w:r>
          </w:p>
        </w:tc>
        <w:tc>
          <w:tcPr>
            <w:tcW w:w="4091" w:type="dxa"/>
            <w:gridSpan w:val="2"/>
            <w:vAlign w:val="center"/>
          </w:tcPr>
          <w:p w14:paraId="6BFF9B8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爬电距离</w:t>
            </w:r>
          </w:p>
        </w:tc>
        <w:tc>
          <w:tcPr>
            <w:tcW w:w="3723" w:type="dxa"/>
            <w:vAlign w:val="center"/>
          </w:tcPr>
          <w:p w14:paraId="0FAE623B">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6A15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740" w:type="dxa"/>
            <w:vMerge w:val="restart"/>
            <w:vAlign w:val="center"/>
          </w:tcPr>
          <w:p w14:paraId="1647C209">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4</w:t>
            </w:r>
          </w:p>
        </w:tc>
        <w:tc>
          <w:tcPr>
            <w:tcW w:w="2507" w:type="dxa"/>
            <w:vMerge w:val="restart"/>
            <w:vAlign w:val="center"/>
          </w:tcPr>
          <w:p w14:paraId="1E7780AD">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非铠装电缆和带编织覆盖层电缆的夹紧试验</w:t>
            </w:r>
          </w:p>
        </w:tc>
        <w:tc>
          <w:tcPr>
            <w:tcW w:w="1584" w:type="dxa"/>
            <w:vAlign w:val="center"/>
          </w:tcPr>
          <w:p w14:paraId="48748DAE">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夹紧试验</w:t>
            </w:r>
          </w:p>
        </w:tc>
        <w:tc>
          <w:tcPr>
            <w:tcW w:w="3723" w:type="dxa"/>
            <w:vAlign w:val="center"/>
          </w:tcPr>
          <w:p w14:paraId="640F694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592A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jc w:val="center"/>
        </w:trPr>
        <w:tc>
          <w:tcPr>
            <w:tcW w:w="740" w:type="dxa"/>
            <w:vMerge w:val="continue"/>
            <w:vAlign w:val="center"/>
          </w:tcPr>
          <w:p w14:paraId="3E94DEC6">
            <w:pPr>
              <w:snapToGrid w:val="0"/>
              <w:spacing w:line="440" w:lineRule="exact"/>
              <w:jc w:val="center"/>
              <w:rPr>
                <w:rFonts w:hint="default" w:ascii="Times New Roman" w:hAnsi="Times New Roman" w:eastAsia="宋体" w:cs="Times New Roman"/>
              </w:rPr>
            </w:pPr>
          </w:p>
        </w:tc>
        <w:tc>
          <w:tcPr>
            <w:tcW w:w="2507" w:type="dxa"/>
            <w:vMerge w:val="continue"/>
            <w:vAlign w:val="center"/>
          </w:tcPr>
          <w:p w14:paraId="0C3AA52C">
            <w:pPr>
              <w:snapToGrid w:val="0"/>
              <w:spacing w:line="440" w:lineRule="exact"/>
              <w:jc w:val="center"/>
              <w:rPr>
                <w:rFonts w:hint="default" w:ascii="Times New Roman" w:hAnsi="Times New Roman" w:eastAsia="宋体" w:cs="Times New Roman"/>
              </w:rPr>
            </w:pPr>
          </w:p>
        </w:tc>
        <w:tc>
          <w:tcPr>
            <w:tcW w:w="1584" w:type="dxa"/>
            <w:vAlign w:val="center"/>
          </w:tcPr>
          <w:p w14:paraId="1E73D8A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机械强度</w:t>
            </w:r>
          </w:p>
        </w:tc>
        <w:tc>
          <w:tcPr>
            <w:tcW w:w="3723" w:type="dxa"/>
            <w:vAlign w:val="center"/>
          </w:tcPr>
          <w:p w14:paraId="5117CB60">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5B5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740" w:type="dxa"/>
            <w:vMerge w:val="restart"/>
            <w:vAlign w:val="center"/>
          </w:tcPr>
          <w:p w14:paraId="6CF8A122">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5</w:t>
            </w:r>
          </w:p>
        </w:tc>
        <w:tc>
          <w:tcPr>
            <w:tcW w:w="2507" w:type="dxa"/>
            <w:vMerge w:val="restart"/>
            <w:vAlign w:val="center"/>
          </w:tcPr>
          <w:p w14:paraId="2068045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隔爆外壳引入装置的附加要求</w:t>
            </w:r>
          </w:p>
        </w:tc>
        <w:tc>
          <w:tcPr>
            <w:tcW w:w="1584" w:type="dxa"/>
            <w:vAlign w:val="center"/>
          </w:tcPr>
          <w:p w14:paraId="2D86A61B">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密封试验</w:t>
            </w:r>
          </w:p>
        </w:tc>
        <w:tc>
          <w:tcPr>
            <w:tcW w:w="3723" w:type="dxa"/>
            <w:vAlign w:val="center"/>
          </w:tcPr>
          <w:p w14:paraId="5D25B11E">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78F4E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40" w:type="dxa"/>
            <w:vMerge w:val="continue"/>
            <w:vAlign w:val="center"/>
          </w:tcPr>
          <w:p w14:paraId="12EBFD86">
            <w:pPr>
              <w:snapToGrid w:val="0"/>
              <w:spacing w:line="440" w:lineRule="exact"/>
              <w:jc w:val="center"/>
              <w:rPr>
                <w:rFonts w:hint="default" w:ascii="Times New Roman" w:hAnsi="Times New Roman" w:eastAsia="宋体" w:cs="Times New Roman"/>
              </w:rPr>
            </w:pPr>
          </w:p>
        </w:tc>
        <w:tc>
          <w:tcPr>
            <w:tcW w:w="2507" w:type="dxa"/>
            <w:vMerge w:val="continue"/>
            <w:vAlign w:val="center"/>
          </w:tcPr>
          <w:p w14:paraId="7066B679">
            <w:pPr>
              <w:snapToGrid w:val="0"/>
              <w:spacing w:line="440" w:lineRule="exact"/>
              <w:jc w:val="center"/>
              <w:rPr>
                <w:rFonts w:hint="default" w:ascii="Times New Roman" w:hAnsi="Times New Roman" w:eastAsia="宋体" w:cs="Times New Roman"/>
              </w:rPr>
            </w:pPr>
          </w:p>
        </w:tc>
        <w:tc>
          <w:tcPr>
            <w:tcW w:w="1584" w:type="dxa"/>
            <w:vAlign w:val="center"/>
          </w:tcPr>
          <w:p w14:paraId="0D9A912D">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机械强度试验</w:t>
            </w:r>
          </w:p>
        </w:tc>
        <w:tc>
          <w:tcPr>
            <w:tcW w:w="3723" w:type="dxa"/>
            <w:vAlign w:val="center"/>
          </w:tcPr>
          <w:p w14:paraId="4C48D64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2E89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top"/>
          </w:tcPr>
          <w:p w14:paraId="0A1D577F">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6</w:t>
            </w:r>
          </w:p>
        </w:tc>
        <w:tc>
          <w:tcPr>
            <w:tcW w:w="4091" w:type="dxa"/>
            <w:gridSpan w:val="2"/>
            <w:vAlign w:val="center"/>
          </w:tcPr>
          <w:p w14:paraId="013BADAA">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隔爆接合面</w:t>
            </w:r>
          </w:p>
        </w:tc>
        <w:tc>
          <w:tcPr>
            <w:tcW w:w="3723" w:type="dxa"/>
            <w:vAlign w:val="center"/>
          </w:tcPr>
          <w:p w14:paraId="628E3E59">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1F9D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18AF96E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7</w:t>
            </w:r>
          </w:p>
        </w:tc>
        <w:tc>
          <w:tcPr>
            <w:tcW w:w="4091" w:type="dxa"/>
            <w:gridSpan w:val="2"/>
            <w:vAlign w:val="center"/>
          </w:tcPr>
          <w:p w14:paraId="6F3DCA6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外壳耐压试验</w:t>
            </w:r>
          </w:p>
        </w:tc>
        <w:tc>
          <w:tcPr>
            <w:tcW w:w="3723" w:type="dxa"/>
            <w:vAlign w:val="center"/>
          </w:tcPr>
          <w:p w14:paraId="29CF788D">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r>
              <w:rPr>
                <w:rFonts w:hint="eastAsia" w:ascii="Times New Roman" w:hAnsi="Times New Roman" w:cs="Times New Roman"/>
                <w:lang w:val="en-US" w:eastAsia="zh-CN"/>
              </w:rPr>
              <w:t xml:space="preserve">  </w:t>
            </w:r>
            <w:r>
              <w:rPr>
                <w:rFonts w:hint="default" w:ascii="Times New Roman" w:hAnsi="Times New Roman" w:eastAsia="宋体" w:cs="Times New Roman"/>
              </w:rPr>
              <w:t>15.2</w:t>
            </w:r>
          </w:p>
        </w:tc>
      </w:tr>
      <w:tr w14:paraId="6174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252BA13F">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8</w:t>
            </w:r>
          </w:p>
        </w:tc>
        <w:tc>
          <w:tcPr>
            <w:tcW w:w="4091" w:type="dxa"/>
            <w:gridSpan w:val="2"/>
            <w:vAlign w:val="center"/>
          </w:tcPr>
          <w:p w14:paraId="345ECBF5">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内部点燃的不传爆试验</w:t>
            </w:r>
          </w:p>
        </w:tc>
        <w:tc>
          <w:tcPr>
            <w:tcW w:w="3723" w:type="dxa"/>
            <w:vAlign w:val="center"/>
          </w:tcPr>
          <w:p w14:paraId="7A6FDEA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r>
              <w:rPr>
                <w:rFonts w:hint="eastAsia" w:ascii="Times New Roman" w:hAnsi="Times New Roman" w:cs="Times New Roman"/>
                <w:lang w:val="en-US" w:eastAsia="zh-CN"/>
              </w:rPr>
              <w:t xml:space="preserve">  </w:t>
            </w:r>
            <w:r>
              <w:rPr>
                <w:rFonts w:hint="default" w:ascii="Times New Roman" w:hAnsi="Times New Roman" w:eastAsia="宋体" w:cs="Times New Roman"/>
              </w:rPr>
              <w:t>15.3</w:t>
            </w:r>
          </w:p>
        </w:tc>
      </w:tr>
      <w:tr w14:paraId="7926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011160E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9</w:t>
            </w:r>
          </w:p>
        </w:tc>
        <w:tc>
          <w:tcPr>
            <w:tcW w:w="4091" w:type="dxa"/>
            <w:gridSpan w:val="2"/>
            <w:vAlign w:val="center"/>
          </w:tcPr>
          <w:p w14:paraId="0B791EA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效率的确定</w:t>
            </w:r>
          </w:p>
        </w:tc>
        <w:tc>
          <w:tcPr>
            <w:tcW w:w="3723" w:type="dxa"/>
            <w:vAlign w:val="center"/>
          </w:tcPr>
          <w:p w14:paraId="395BDEC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1032</w:t>
            </w:r>
            <w:r>
              <w:rPr>
                <w:rFonts w:hint="eastAsia" w:ascii="Times New Roman" w:hAnsi="Times New Roman" w:cs="Times New Roman"/>
                <w:lang w:eastAsia="zh-CN"/>
              </w:rPr>
              <w:t>-</w:t>
            </w:r>
            <w:r>
              <w:rPr>
                <w:rFonts w:hint="default" w:ascii="Times New Roman" w:hAnsi="Times New Roman" w:eastAsia="宋体" w:cs="Times New Roman"/>
              </w:rPr>
              <w:t>2023</w:t>
            </w:r>
            <w:r>
              <w:rPr>
                <w:rFonts w:hint="eastAsia" w:ascii="Times New Roman" w:hAnsi="Times New Roman" w:cs="Times New Roman"/>
                <w:lang w:val="en-US" w:eastAsia="zh-CN"/>
              </w:rPr>
              <w:t xml:space="preserve">  </w:t>
            </w:r>
            <w:r>
              <w:rPr>
                <w:rFonts w:hint="default" w:ascii="Times New Roman" w:hAnsi="Times New Roman" w:eastAsia="宋体" w:cs="Times New Roman"/>
              </w:rPr>
              <w:t>12.3</w:t>
            </w:r>
          </w:p>
        </w:tc>
      </w:tr>
    </w:tbl>
    <w:p w14:paraId="4A58D423">
      <w:pPr>
        <w:snapToGrid w:val="0"/>
        <w:spacing w:line="440" w:lineRule="exact"/>
        <w:jc w:val="center"/>
        <w:rPr>
          <w:rFonts w:ascii="Times New Roman" w:hAnsi="Times New Roman" w:cs="宋体"/>
          <w:szCs w:val="21"/>
        </w:rPr>
      </w:pPr>
      <w:r>
        <w:rPr>
          <w:rFonts w:hint="eastAsia" w:ascii="Times New Roman" w:hAnsi="Times New Roman" w:cs="宋体"/>
          <w:szCs w:val="21"/>
        </w:rPr>
        <w:t>表2 防爆灯具</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286"/>
        <w:gridCol w:w="1804"/>
        <w:gridCol w:w="3786"/>
      </w:tblGrid>
      <w:tr w14:paraId="1A02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40" w:type="dxa"/>
            <w:vAlign w:val="top"/>
          </w:tcPr>
          <w:p w14:paraId="714EC0C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序号</w:t>
            </w:r>
          </w:p>
        </w:tc>
        <w:tc>
          <w:tcPr>
            <w:tcW w:w="4090" w:type="dxa"/>
            <w:gridSpan w:val="2"/>
            <w:vAlign w:val="top"/>
          </w:tcPr>
          <w:p w14:paraId="0923AAA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检验项目</w:t>
            </w:r>
          </w:p>
        </w:tc>
        <w:tc>
          <w:tcPr>
            <w:tcW w:w="3786" w:type="dxa"/>
            <w:vAlign w:val="top"/>
          </w:tcPr>
          <w:p w14:paraId="4A1D6D6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检验方法</w:t>
            </w:r>
          </w:p>
        </w:tc>
      </w:tr>
      <w:tr w14:paraId="2C7F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43CC6715">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1</w:t>
            </w:r>
          </w:p>
        </w:tc>
        <w:tc>
          <w:tcPr>
            <w:tcW w:w="4090" w:type="dxa"/>
            <w:gridSpan w:val="2"/>
            <w:vAlign w:val="center"/>
          </w:tcPr>
          <w:p w14:paraId="18FB8C8E">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抗冲击试验</w:t>
            </w:r>
          </w:p>
        </w:tc>
        <w:tc>
          <w:tcPr>
            <w:tcW w:w="3786" w:type="dxa"/>
            <w:vAlign w:val="center"/>
          </w:tcPr>
          <w:p w14:paraId="51E7197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60EB2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7B70707D">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2</w:t>
            </w:r>
          </w:p>
        </w:tc>
        <w:tc>
          <w:tcPr>
            <w:tcW w:w="4090" w:type="dxa"/>
            <w:gridSpan w:val="2"/>
            <w:vAlign w:val="center"/>
          </w:tcPr>
          <w:p w14:paraId="3025933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电气间隙</w:t>
            </w:r>
          </w:p>
        </w:tc>
        <w:tc>
          <w:tcPr>
            <w:tcW w:w="3786" w:type="dxa"/>
            <w:vAlign w:val="center"/>
          </w:tcPr>
          <w:p w14:paraId="1C53794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2946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71ECD3D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3</w:t>
            </w:r>
          </w:p>
        </w:tc>
        <w:tc>
          <w:tcPr>
            <w:tcW w:w="4090" w:type="dxa"/>
            <w:gridSpan w:val="2"/>
            <w:vAlign w:val="center"/>
          </w:tcPr>
          <w:p w14:paraId="026E261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爬电距离</w:t>
            </w:r>
          </w:p>
        </w:tc>
        <w:tc>
          <w:tcPr>
            <w:tcW w:w="3786" w:type="dxa"/>
            <w:vAlign w:val="center"/>
          </w:tcPr>
          <w:p w14:paraId="2041693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6905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740" w:type="dxa"/>
            <w:vMerge w:val="restart"/>
            <w:vAlign w:val="center"/>
          </w:tcPr>
          <w:p w14:paraId="113A9B49">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4</w:t>
            </w:r>
          </w:p>
        </w:tc>
        <w:tc>
          <w:tcPr>
            <w:tcW w:w="2286" w:type="dxa"/>
            <w:vMerge w:val="restart"/>
            <w:vAlign w:val="center"/>
          </w:tcPr>
          <w:p w14:paraId="3496F16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非铠装电缆和带编织覆盖层电缆的夹紧试验</w:t>
            </w:r>
          </w:p>
        </w:tc>
        <w:tc>
          <w:tcPr>
            <w:tcW w:w="1804" w:type="dxa"/>
            <w:vAlign w:val="center"/>
          </w:tcPr>
          <w:p w14:paraId="28C5AAB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夹紧试验</w:t>
            </w:r>
          </w:p>
        </w:tc>
        <w:tc>
          <w:tcPr>
            <w:tcW w:w="3786" w:type="dxa"/>
            <w:vAlign w:val="center"/>
          </w:tcPr>
          <w:p w14:paraId="427FE60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3B99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jc w:val="center"/>
        </w:trPr>
        <w:tc>
          <w:tcPr>
            <w:tcW w:w="740" w:type="dxa"/>
            <w:vMerge w:val="continue"/>
            <w:vAlign w:val="center"/>
          </w:tcPr>
          <w:p w14:paraId="27DD675D">
            <w:pPr>
              <w:snapToGrid w:val="0"/>
              <w:spacing w:line="440" w:lineRule="exact"/>
              <w:jc w:val="center"/>
              <w:rPr>
                <w:rFonts w:hint="default" w:ascii="Times New Roman" w:hAnsi="Times New Roman" w:eastAsia="宋体" w:cs="Times New Roman"/>
              </w:rPr>
            </w:pPr>
          </w:p>
        </w:tc>
        <w:tc>
          <w:tcPr>
            <w:tcW w:w="2286" w:type="dxa"/>
            <w:vMerge w:val="continue"/>
            <w:vAlign w:val="center"/>
          </w:tcPr>
          <w:p w14:paraId="11BA36E7">
            <w:pPr>
              <w:snapToGrid w:val="0"/>
              <w:spacing w:line="440" w:lineRule="exact"/>
              <w:jc w:val="center"/>
              <w:rPr>
                <w:rFonts w:hint="default" w:ascii="Times New Roman" w:hAnsi="Times New Roman" w:eastAsia="宋体" w:cs="Times New Roman"/>
              </w:rPr>
            </w:pPr>
          </w:p>
        </w:tc>
        <w:tc>
          <w:tcPr>
            <w:tcW w:w="1804" w:type="dxa"/>
            <w:vAlign w:val="center"/>
          </w:tcPr>
          <w:p w14:paraId="052B8CE2">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机械强度</w:t>
            </w:r>
          </w:p>
        </w:tc>
        <w:tc>
          <w:tcPr>
            <w:tcW w:w="3786" w:type="dxa"/>
            <w:vAlign w:val="center"/>
          </w:tcPr>
          <w:p w14:paraId="0550368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25FD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740" w:type="dxa"/>
            <w:vMerge w:val="restart"/>
            <w:vAlign w:val="center"/>
          </w:tcPr>
          <w:p w14:paraId="34BE813E">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5</w:t>
            </w:r>
          </w:p>
        </w:tc>
        <w:tc>
          <w:tcPr>
            <w:tcW w:w="2286" w:type="dxa"/>
            <w:vMerge w:val="restart"/>
            <w:vAlign w:val="center"/>
          </w:tcPr>
          <w:p w14:paraId="4B7BA710">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隔爆外壳引入装置的附加要求</w:t>
            </w:r>
          </w:p>
        </w:tc>
        <w:tc>
          <w:tcPr>
            <w:tcW w:w="1804" w:type="dxa"/>
            <w:vAlign w:val="center"/>
          </w:tcPr>
          <w:p w14:paraId="5A9779FA">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密封试验</w:t>
            </w:r>
          </w:p>
        </w:tc>
        <w:tc>
          <w:tcPr>
            <w:tcW w:w="3786" w:type="dxa"/>
            <w:vAlign w:val="center"/>
          </w:tcPr>
          <w:p w14:paraId="608D2A3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22F6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40" w:type="dxa"/>
            <w:vMerge w:val="continue"/>
            <w:vAlign w:val="center"/>
          </w:tcPr>
          <w:p w14:paraId="3B74E6BD">
            <w:pPr>
              <w:snapToGrid w:val="0"/>
              <w:spacing w:line="440" w:lineRule="exact"/>
              <w:jc w:val="center"/>
              <w:rPr>
                <w:rFonts w:hint="default" w:ascii="Times New Roman" w:hAnsi="Times New Roman" w:eastAsia="宋体" w:cs="Times New Roman"/>
              </w:rPr>
            </w:pPr>
          </w:p>
        </w:tc>
        <w:tc>
          <w:tcPr>
            <w:tcW w:w="2286" w:type="dxa"/>
            <w:vMerge w:val="continue"/>
            <w:vAlign w:val="center"/>
          </w:tcPr>
          <w:p w14:paraId="2832786E">
            <w:pPr>
              <w:snapToGrid w:val="0"/>
              <w:spacing w:line="440" w:lineRule="exact"/>
              <w:jc w:val="center"/>
              <w:rPr>
                <w:rFonts w:hint="default" w:ascii="Times New Roman" w:hAnsi="Times New Roman" w:eastAsia="宋体" w:cs="Times New Roman"/>
              </w:rPr>
            </w:pPr>
          </w:p>
        </w:tc>
        <w:tc>
          <w:tcPr>
            <w:tcW w:w="1804" w:type="dxa"/>
            <w:vAlign w:val="center"/>
          </w:tcPr>
          <w:p w14:paraId="0144625B">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机械强度试验</w:t>
            </w:r>
          </w:p>
        </w:tc>
        <w:tc>
          <w:tcPr>
            <w:tcW w:w="3786" w:type="dxa"/>
            <w:vAlign w:val="center"/>
          </w:tcPr>
          <w:p w14:paraId="5719ABBD">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10FD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top"/>
          </w:tcPr>
          <w:p w14:paraId="2B59E22F">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6</w:t>
            </w:r>
          </w:p>
        </w:tc>
        <w:tc>
          <w:tcPr>
            <w:tcW w:w="4090" w:type="dxa"/>
            <w:gridSpan w:val="2"/>
            <w:vAlign w:val="center"/>
          </w:tcPr>
          <w:p w14:paraId="27E86BC6">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隔爆接合面</w:t>
            </w:r>
          </w:p>
        </w:tc>
        <w:tc>
          <w:tcPr>
            <w:tcW w:w="3786" w:type="dxa"/>
            <w:vAlign w:val="center"/>
          </w:tcPr>
          <w:p w14:paraId="09E1C0F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7536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47699D2D">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7</w:t>
            </w:r>
          </w:p>
        </w:tc>
        <w:tc>
          <w:tcPr>
            <w:tcW w:w="4090" w:type="dxa"/>
            <w:gridSpan w:val="2"/>
            <w:vAlign w:val="center"/>
          </w:tcPr>
          <w:p w14:paraId="4A1E5DC5">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外壳耐压试验</w:t>
            </w:r>
          </w:p>
        </w:tc>
        <w:tc>
          <w:tcPr>
            <w:tcW w:w="3786" w:type="dxa"/>
            <w:vAlign w:val="center"/>
          </w:tcPr>
          <w:p w14:paraId="3DB6B47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r>
              <w:rPr>
                <w:rFonts w:hint="eastAsia" w:ascii="Times New Roman" w:hAnsi="Times New Roman" w:cs="Times New Roman"/>
                <w:lang w:val="en-US" w:eastAsia="zh-CN"/>
              </w:rPr>
              <w:t xml:space="preserve">  </w:t>
            </w:r>
            <w:r>
              <w:rPr>
                <w:rFonts w:hint="default" w:ascii="Times New Roman" w:hAnsi="Times New Roman" w:eastAsia="宋体" w:cs="Times New Roman"/>
              </w:rPr>
              <w:t>15.2</w:t>
            </w:r>
          </w:p>
        </w:tc>
      </w:tr>
      <w:tr w14:paraId="39FA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537E8520">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8</w:t>
            </w:r>
          </w:p>
        </w:tc>
        <w:tc>
          <w:tcPr>
            <w:tcW w:w="4090" w:type="dxa"/>
            <w:gridSpan w:val="2"/>
            <w:vAlign w:val="center"/>
          </w:tcPr>
          <w:p w14:paraId="39859DA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内部点燃的不传爆试验</w:t>
            </w:r>
          </w:p>
        </w:tc>
        <w:tc>
          <w:tcPr>
            <w:tcW w:w="3786" w:type="dxa"/>
            <w:vAlign w:val="center"/>
          </w:tcPr>
          <w:p w14:paraId="1B0E44B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r>
              <w:rPr>
                <w:rFonts w:hint="eastAsia" w:ascii="Times New Roman" w:hAnsi="Times New Roman" w:cs="Times New Roman"/>
                <w:lang w:val="en-US" w:eastAsia="zh-CN"/>
              </w:rPr>
              <w:t xml:space="preserve">  </w:t>
            </w:r>
            <w:r>
              <w:rPr>
                <w:rFonts w:hint="default" w:ascii="Times New Roman" w:hAnsi="Times New Roman" w:eastAsia="宋体" w:cs="Times New Roman"/>
              </w:rPr>
              <w:t>15.3</w:t>
            </w:r>
          </w:p>
        </w:tc>
      </w:tr>
      <w:tr w14:paraId="037A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6E4E0DF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9</w:t>
            </w:r>
          </w:p>
        </w:tc>
        <w:tc>
          <w:tcPr>
            <w:tcW w:w="4090" w:type="dxa"/>
            <w:gridSpan w:val="2"/>
            <w:vAlign w:val="center"/>
          </w:tcPr>
          <w:p w14:paraId="7205804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最高表面温度</w:t>
            </w:r>
          </w:p>
        </w:tc>
        <w:tc>
          <w:tcPr>
            <w:tcW w:w="3786" w:type="dxa"/>
            <w:vAlign w:val="center"/>
          </w:tcPr>
          <w:p w14:paraId="6E9DC5C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37CA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center"/>
          </w:tcPr>
          <w:p w14:paraId="2EC384DA">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10</w:t>
            </w:r>
          </w:p>
        </w:tc>
        <w:tc>
          <w:tcPr>
            <w:tcW w:w="4090" w:type="dxa"/>
            <w:gridSpan w:val="2"/>
            <w:vAlign w:val="center"/>
          </w:tcPr>
          <w:p w14:paraId="0B72C96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热剧变试验</w:t>
            </w:r>
          </w:p>
        </w:tc>
        <w:tc>
          <w:tcPr>
            <w:tcW w:w="3786" w:type="dxa"/>
            <w:vAlign w:val="center"/>
          </w:tcPr>
          <w:p w14:paraId="089F2AA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54F2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0" w:type="dxa"/>
            <w:vAlign w:val="top"/>
          </w:tcPr>
          <w:p w14:paraId="7740C7A6">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11</w:t>
            </w:r>
          </w:p>
        </w:tc>
        <w:tc>
          <w:tcPr>
            <w:tcW w:w="4090" w:type="dxa"/>
            <w:gridSpan w:val="2"/>
            <w:vAlign w:val="top"/>
          </w:tcPr>
          <w:p w14:paraId="3302D61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绝缘介电强度</w:t>
            </w:r>
          </w:p>
        </w:tc>
        <w:tc>
          <w:tcPr>
            <w:tcW w:w="3786" w:type="dxa"/>
            <w:vAlign w:val="center"/>
          </w:tcPr>
          <w:p w14:paraId="6568F47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bl>
    <w:p w14:paraId="17B52EF0">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表3 防爆电器</w:t>
      </w:r>
    </w:p>
    <w:tbl>
      <w:tblPr>
        <w:tblStyle w:val="7"/>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478"/>
        <w:gridCol w:w="1639"/>
        <w:gridCol w:w="3825"/>
      </w:tblGrid>
      <w:tr w14:paraId="1BD3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0" w:type="dxa"/>
            <w:vAlign w:val="top"/>
          </w:tcPr>
          <w:p w14:paraId="735DE76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序号</w:t>
            </w:r>
          </w:p>
        </w:tc>
        <w:tc>
          <w:tcPr>
            <w:tcW w:w="4117" w:type="dxa"/>
            <w:gridSpan w:val="2"/>
            <w:vAlign w:val="top"/>
          </w:tcPr>
          <w:p w14:paraId="4A069322">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检验项目</w:t>
            </w:r>
          </w:p>
        </w:tc>
        <w:tc>
          <w:tcPr>
            <w:tcW w:w="3825" w:type="dxa"/>
            <w:vAlign w:val="top"/>
          </w:tcPr>
          <w:p w14:paraId="7ED25E9B">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检验方法</w:t>
            </w:r>
          </w:p>
        </w:tc>
      </w:tr>
      <w:tr w14:paraId="5F89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Align w:val="center"/>
          </w:tcPr>
          <w:p w14:paraId="23A4845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1</w:t>
            </w:r>
          </w:p>
        </w:tc>
        <w:tc>
          <w:tcPr>
            <w:tcW w:w="4117" w:type="dxa"/>
            <w:gridSpan w:val="2"/>
            <w:vAlign w:val="center"/>
          </w:tcPr>
          <w:p w14:paraId="6EFFE28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抗冲击试验</w:t>
            </w:r>
          </w:p>
        </w:tc>
        <w:tc>
          <w:tcPr>
            <w:tcW w:w="3825" w:type="dxa"/>
            <w:vAlign w:val="center"/>
          </w:tcPr>
          <w:p w14:paraId="5328393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1257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Align w:val="center"/>
          </w:tcPr>
          <w:p w14:paraId="0AB10E45">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2</w:t>
            </w:r>
          </w:p>
        </w:tc>
        <w:tc>
          <w:tcPr>
            <w:tcW w:w="4117" w:type="dxa"/>
            <w:gridSpan w:val="2"/>
            <w:vAlign w:val="center"/>
          </w:tcPr>
          <w:p w14:paraId="6648AF3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电气间隙</w:t>
            </w:r>
          </w:p>
        </w:tc>
        <w:tc>
          <w:tcPr>
            <w:tcW w:w="3825" w:type="dxa"/>
            <w:vAlign w:val="center"/>
          </w:tcPr>
          <w:p w14:paraId="689C464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0088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Align w:val="center"/>
          </w:tcPr>
          <w:p w14:paraId="35B4F32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3</w:t>
            </w:r>
          </w:p>
        </w:tc>
        <w:tc>
          <w:tcPr>
            <w:tcW w:w="4117" w:type="dxa"/>
            <w:gridSpan w:val="2"/>
            <w:vAlign w:val="center"/>
          </w:tcPr>
          <w:p w14:paraId="3A08E06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爬电距离</w:t>
            </w:r>
          </w:p>
        </w:tc>
        <w:tc>
          <w:tcPr>
            <w:tcW w:w="3825" w:type="dxa"/>
            <w:vAlign w:val="center"/>
          </w:tcPr>
          <w:p w14:paraId="501794EB">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6CA9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730" w:type="dxa"/>
            <w:vMerge w:val="restart"/>
            <w:vAlign w:val="center"/>
          </w:tcPr>
          <w:p w14:paraId="68F66922">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4</w:t>
            </w:r>
          </w:p>
        </w:tc>
        <w:tc>
          <w:tcPr>
            <w:tcW w:w="2478" w:type="dxa"/>
            <w:vMerge w:val="restart"/>
            <w:vAlign w:val="center"/>
          </w:tcPr>
          <w:p w14:paraId="7EF102C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非铠装电缆和带编织覆盖层电缆的夹紧试验</w:t>
            </w:r>
          </w:p>
        </w:tc>
        <w:tc>
          <w:tcPr>
            <w:tcW w:w="1639" w:type="dxa"/>
            <w:vAlign w:val="center"/>
          </w:tcPr>
          <w:p w14:paraId="357E5A90">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夹紧试验</w:t>
            </w:r>
          </w:p>
        </w:tc>
        <w:tc>
          <w:tcPr>
            <w:tcW w:w="3825" w:type="dxa"/>
            <w:vAlign w:val="center"/>
          </w:tcPr>
          <w:p w14:paraId="2DDA9C6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511A2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jc w:val="center"/>
        </w:trPr>
        <w:tc>
          <w:tcPr>
            <w:tcW w:w="730" w:type="dxa"/>
            <w:vMerge w:val="continue"/>
            <w:vAlign w:val="center"/>
          </w:tcPr>
          <w:p w14:paraId="62305B95">
            <w:pPr>
              <w:snapToGrid w:val="0"/>
              <w:spacing w:line="440" w:lineRule="exact"/>
              <w:jc w:val="center"/>
              <w:rPr>
                <w:rFonts w:hint="default" w:ascii="Times New Roman" w:hAnsi="Times New Roman" w:eastAsia="宋体" w:cs="Times New Roman"/>
              </w:rPr>
            </w:pPr>
          </w:p>
        </w:tc>
        <w:tc>
          <w:tcPr>
            <w:tcW w:w="2478" w:type="dxa"/>
            <w:vMerge w:val="continue"/>
            <w:vAlign w:val="center"/>
          </w:tcPr>
          <w:p w14:paraId="467715F5">
            <w:pPr>
              <w:snapToGrid w:val="0"/>
              <w:spacing w:line="440" w:lineRule="exact"/>
              <w:jc w:val="center"/>
              <w:rPr>
                <w:rFonts w:hint="default" w:ascii="Times New Roman" w:hAnsi="Times New Roman" w:eastAsia="宋体" w:cs="Times New Roman"/>
              </w:rPr>
            </w:pPr>
          </w:p>
        </w:tc>
        <w:tc>
          <w:tcPr>
            <w:tcW w:w="1639" w:type="dxa"/>
            <w:vAlign w:val="center"/>
          </w:tcPr>
          <w:p w14:paraId="19FD8E77">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机械强度</w:t>
            </w:r>
          </w:p>
        </w:tc>
        <w:tc>
          <w:tcPr>
            <w:tcW w:w="3825" w:type="dxa"/>
            <w:vAlign w:val="center"/>
          </w:tcPr>
          <w:p w14:paraId="1D6DF026">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3836.1</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2462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730" w:type="dxa"/>
            <w:vMerge w:val="restart"/>
            <w:vAlign w:val="center"/>
          </w:tcPr>
          <w:p w14:paraId="4A11825F">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5</w:t>
            </w:r>
          </w:p>
        </w:tc>
        <w:tc>
          <w:tcPr>
            <w:tcW w:w="2478" w:type="dxa"/>
            <w:vMerge w:val="restart"/>
            <w:vAlign w:val="center"/>
          </w:tcPr>
          <w:p w14:paraId="0DA89E3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隔爆外壳引入装置的附加要求</w:t>
            </w:r>
          </w:p>
        </w:tc>
        <w:tc>
          <w:tcPr>
            <w:tcW w:w="1639" w:type="dxa"/>
            <w:vAlign w:val="center"/>
          </w:tcPr>
          <w:p w14:paraId="680E59C6">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密封试验</w:t>
            </w:r>
          </w:p>
        </w:tc>
        <w:tc>
          <w:tcPr>
            <w:tcW w:w="3825" w:type="dxa"/>
            <w:vAlign w:val="center"/>
          </w:tcPr>
          <w:p w14:paraId="759F9B20">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7155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730" w:type="dxa"/>
            <w:vMerge w:val="continue"/>
            <w:vAlign w:val="center"/>
          </w:tcPr>
          <w:p w14:paraId="4D6A1169">
            <w:pPr>
              <w:snapToGrid w:val="0"/>
              <w:spacing w:line="440" w:lineRule="exact"/>
              <w:jc w:val="center"/>
              <w:rPr>
                <w:rFonts w:hint="default" w:ascii="Times New Roman" w:hAnsi="Times New Roman" w:eastAsia="宋体" w:cs="Times New Roman"/>
              </w:rPr>
            </w:pPr>
          </w:p>
        </w:tc>
        <w:tc>
          <w:tcPr>
            <w:tcW w:w="2478" w:type="dxa"/>
            <w:vMerge w:val="continue"/>
            <w:vAlign w:val="center"/>
          </w:tcPr>
          <w:p w14:paraId="2E2F416C">
            <w:pPr>
              <w:snapToGrid w:val="0"/>
              <w:spacing w:line="440" w:lineRule="exact"/>
              <w:jc w:val="center"/>
              <w:rPr>
                <w:rFonts w:hint="default" w:ascii="Times New Roman" w:hAnsi="Times New Roman" w:eastAsia="宋体" w:cs="Times New Roman"/>
              </w:rPr>
            </w:pPr>
          </w:p>
        </w:tc>
        <w:tc>
          <w:tcPr>
            <w:tcW w:w="1639" w:type="dxa"/>
            <w:vAlign w:val="center"/>
          </w:tcPr>
          <w:p w14:paraId="28F1C1D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机械强度试验</w:t>
            </w:r>
          </w:p>
        </w:tc>
        <w:tc>
          <w:tcPr>
            <w:tcW w:w="3825" w:type="dxa"/>
            <w:vAlign w:val="center"/>
          </w:tcPr>
          <w:p w14:paraId="7A63D455">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2103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Align w:val="top"/>
          </w:tcPr>
          <w:p w14:paraId="0275D6F4">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6</w:t>
            </w:r>
          </w:p>
        </w:tc>
        <w:tc>
          <w:tcPr>
            <w:tcW w:w="4117" w:type="dxa"/>
            <w:gridSpan w:val="2"/>
            <w:vAlign w:val="center"/>
          </w:tcPr>
          <w:p w14:paraId="53060F9B">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隔爆接合面</w:t>
            </w:r>
          </w:p>
        </w:tc>
        <w:tc>
          <w:tcPr>
            <w:tcW w:w="3825" w:type="dxa"/>
            <w:vAlign w:val="center"/>
          </w:tcPr>
          <w:p w14:paraId="0E31F016">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p>
        </w:tc>
      </w:tr>
      <w:tr w14:paraId="0033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Align w:val="center"/>
          </w:tcPr>
          <w:p w14:paraId="1373DA3C">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7</w:t>
            </w:r>
          </w:p>
        </w:tc>
        <w:tc>
          <w:tcPr>
            <w:tcW w:w="4117" w:type="dxa"/>
            <w:gridSpan w:val="2"/>
            <w:vAlign w:val="center"/>
          </w:tcPr>
          <w:p w14:paraId="126AF199">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外壳耐压试验</w:t>
            </w:r>
          </w:p>
        </w:tc>
        <w:tc>
          <w:tcPr>
            <w:tcW w:w="3825" w:type="dxa"/>
            <w:vAlign w:val="center"/>
          </w:tcPr>
          <w:p w14:paraId="222C8503">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r>
              <w:rPr>
                <w:rFonts w:hint="eastAsia" w:ascii="Times New Roman" w:hAnsi="Times New Roman" w:cs="Times New Roman"/>
                <w:lang w:val="en-US" w:eastAsia="zh-CN"/>
              </w:rPr>
              <w:t xml:space="preserve">  </w:t>
            </w:r>
            <w:r>
              <w:rPr>
                <w:rFonts w:hint="default" w:ascii="Times New Roman" w:hAnsi="Times New Roman" w:eastAsia="宋体" w:cs="Times New Roman"/>
              </w:rPr>
              <w:t>15.2</w:t>
            </w:r>
          </w:p>
        </w:tc>
      </w:tr>
      <w:tr w14:paraId="581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Align w:val="center"/>
          </w:tcPr>
          <w:p w14:paraId="3C168E61">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8</w:t>
            </w:r>
          </w:p>
        </w:tc>
        <w:tc>
          <w:tcPr>
            <w:tcW w:w="4117" w:type="dxa"/>
            <w:gridSpan w:val="2"/>
            <w:vAlign w:val="center"/>
          </w:tcPr>
          <w:p w14:paraId="6132AA68">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内部点燃的不传爆试验</w:t>
            </w:r>
          </w:p>
        </w:tc>
        <w:tc>
          <w:tcPr>
            <w:tcW w:w="3825" w:type="dxa"/>
            <w:vAlign w:val="center"/>
          </w:tcPr>
          <w:p w14:paraId="78FC34E2">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3836.2</w:t>
            </w:r>
            <w:r>
              <w:rPr>
                <w:rFonts w:hint="eastAsia" w:ascii="Times New Roman" w:hAnsi="Times New Roman" w:cs="Times New Roman"/>
                <w:lang w:eastAsia="zh-CN"/>
              </w:rPr>
              <w:t>-</w:t>
            </w:r>
            <w:r>
              <w:rPr>
                <w:rFonts w:hint="default" w:ascii="Times New Roman" w:hAnsi="Times New Roman" w:eastAsia="宋体" w:cs="Times New Roman"/>
              </w:rPr>
              <w:t>2021</w:t>
            </w:r>
            <w:r>
              <w:rPr>
                <w:rFonts w:hint="eastAsia" w:ascii="Times New Roman" w:hAnsi="Times New Roman" w:cs="Times New Roman"/>
                <w:lang w:val="en-US" w:eastAsia="zh-CN"/>
              </w:rPr>
              <w:t xml:space="preserve">  </w:t>
            </w:r>
            <w:r>
              <w:rPr>
                <w:rFonts w:hint="default" w:ascii="Times New Roman" w:hAnsi="Times New Roman" w:eastAsia="宋体" w:cs="Times New Roman"/>
              </w:rPr>
              <w:t>15.3</w:t>
            </w:r>
          </w:p>
        </w:tc>
      </w:tr>
      <w:tr w14:paraId="612C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0" w:type="dxa"/>
            <w:vAlign w:val="top"/>
          </w:tcPr>
          <w:p w14:paraId="36333F26">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9</w:t>
            </w:r>
          </w:p>
        </w:tc>
        <w:tc>
          <w:tcPr>
            <w:tcW w:w="4117" w:type="dxa"/>
            <w:gridSpan w:val="2"/>
            <w:vAlign w:val="top"/>
          </w:tcPr>
          <w:p w14:paraId="296F463E">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绝缘介电强度</w:t>
            </w:r>
          </w:p>
        </w:tc>
        <w:tc>
          <w:tcPr>
            <w:tcW w:w="3825" w:type="dxa"/>
            <w:vAlign w:val="center"/>
          </w:tcPr>
          <w:p w14:paraId="10BC9B2E">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GB/T 3836.3</w:t>
            </w:r>
            <w:r>
              <w:rPr>
                <w:rFonts w:hint="eastAsia" w:ascii="Times New Roman" w:hAnsi="Times New Roman" w:cs="Times New Roman"/>
                <w:lang w:eastAsia="zh-CN"/>
              </w:rPr>
              <w:t>-</w:t>
            </w:r>
            <w:r>
              <w:rPr>
                <w:rFonts w:hint="default" w:ascii="Times New Roman" w:hAnsi="Times New Roman" w:eastAsia="宋体" w:cs="Times New Roman"/>
              </w:rPr>
              <w:t>2021</w:t>
            </w:r>
          </w:p>
        </w:tc>
      </w:tr>
    </w:tbl>
    <w:p w14:paraId="1AA83A43">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12BE51F1">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3260329F">
      <w:pPr>
        <w:spacing w:line="440" w:lineRule="exact"/>
        <w:rPr>
          <w:rFonts w:ascii="Times New Roman" w:hAnsi="Times New Roman" w:eastAsia="黑体"/>
          <w:szCs w:val="21"/>
        </w:rPr>
      </w:pPr>
      <w:r>
        <w:rPr>
          <w:rFonts w:ascii="Times New Roman" w:hAnsi="Times New Roman" w:eastAsia="黑体"/>
          <w:szCs w:val="21"/>
        </w:rPr>
        <w:t>3 判定规则</w:t>
      </w:r>
    </w:p>
    <w:p w14:paraId="1FC4DE2B">
      <w:pPr>
        <w:snapToGrid w:val="0"/>
        <w:spacing w:line="440" w:lineRule="exact"/>
        <w:rPr>
          <w:rFonts w:ascii="Times New Roman" w:hAnsi="Times New Roman"/>
          <w:szCs w:val="21"/>
        </w:rPr>
      </w:pPr>
      <w:r>
        <w:rPr>
          <w:rFonts w:ascii="Times New Roman" w:hAnsi="Times New Roman"/>
          <w:szCs w:val="21"/>
        </w:rPr>
        <w:t>3.1依据标准</w:t>
      </w:r>
    </w:p>
    <w:p w14:paraId="3F88611D">
      <w:pPr>
        <w:spacing w:line="440" w:lineRule="exact"/>
        <w:ind w:firstLine="420" w:firstLineChars="200"/>
        <w:rPr>
          <w:rFonts w:ascii="Times New Roman" w:hAnsi="Times New Roman"/>
          <w:color w:val="000000"/>
          <w:szCs w:val="21"/>
        </w:rPr>
      </w:pPr>
      <w:r>
        <w:rPr>
          <w:rFonts w:ascii="Times New Roman" w:hAnsi="Times New Roman"/>
          <w:color w:val="000000"/>
          <w:szCs w:val="21"/>
        </w:rPr>
        <w:t>GB/T 3836.1</w:t>
      </w:r>
      <w:r>
        <w:rPr>
          <w:rFonts w:hint="eastAsia" w:ascii="Times New Roman" w:hAnsi="Times New Roman"/>
          <w:color w:val="000000"/>
          <w:szCs w:val="21"/>
          <w:lang w:eastAsia="zh-CN"/>
        </w:rPr>
        <w:t>-</w:t>
      </w:r>
      <w:r>
        <w:rPr>
          <w:rFonts w:ascii="Times New Roman" w:hAnsi="Times New Roman"/>
          <w:color w:val="000000"/>
          <w:szCs w:val="21"/>
        </w:rPr>
        <w:t xml:space="preserve">2021 </w:t>
      </w:r>
      <w:r>
        <w:rPr>
          <w:rFonts w:hint="eastAsia" w:ascii="Times New Roman" w:hAnsi="Times New Roman"/>
          <w:color w:val="000000"/>
          <w:szCs w:val="21"/>
          <w:lang w:val="en-US" w:eastAsia="zh-CN"/>
        </w:rPr>
        <w:t xml:space="preserve">  </w:t>
      </w:r>
      <w:r>
        <w:rPr>
          <w:rFonts w:ascii="Times New Roman" w:hAnsi="Times New Roman"/>
          <w:color w:val="000000"/>
          <w:szCs w:val="21"/>
        </w:rPr>
        <w:t>爆炸性环境  第1部分：设备 通用要求</w:t>
      </w:r>
    </w:p>
    <w:p w14:paraId="210B4F18">
      <w:pPr>
        <w:spacing w:line="440" w:lineRule="exact"/>
        <w:ind w:firstLine="420" w:firstLineChars="200"/>
        <w:rPr>
          <w:rFonts w:ascii="Times New Roman" w:hAnsi="Times New Roman"/>
          <w:color w:val="000000"/>
          <w:szCs w:val="21"/>
        </w:rPr>
      </w:pPr>
      <w:r>
        <w:rPr>
          <w:rFonts w:ascii="Times New Roman" w:hAnsi="Times New Roman"/>
          <w:color w:val="000000"/>
          <w:szCs w:val="21"/>
        </w:rPr>
        <w:t>GB/T 3836.2</w:t>
      </w:r>
      <w:r>
        <w:rPr>
          <w:rFonts w:hint="eastAsia" w:ascii="Times New Roman" w:hAnsi="Times New Roman"/>
          <w:color w:val="000000"/>
          <w:szCs w:val="21"/>
          <w:lang w:eastAsia="zh-CN"/>
        </w:rPr>
        <w:t>-</w:t>
      </w:r>
      <w:r>
        <w:rPr>
          <w:rFonts w:ascii="Times New Roman" w:hAnsi="Times New Roman"/>
          <w:color w:val="000000"/>
          <w:szCs w:val="21"/>
        </w:rPr>
        <w:t xml:space="preserve">2021 </w:t>
      </w:r>
      <w:r>
        <w:rPr>
          <w:rFonts w:hint="eastAsia" w:ascii="Times New Roman" w:hAnsi="Times New Roman"/>
          <w:color w:val="000000"/>
          <w:szCs w:val="21"/>
          <w:lang w:val="en-US" w:eastAsia="zh-CN"/>
        </w:rPr>
        <w:t xml:space="preserve">  </w:t>
      </w:r>
      <w:r>
        <w:rPr>
          <w:rFonts w:ascii="Times New Roman" w:hAnsi="Times New Roman"/>
          <w:color w:val="000000"/>
          <w:szCs w:val="21"/>
        </w:rPr>
        <w:t>爆炸性环境  第2部分：由隔爆外壳“d”保护的设备</w:t>
      </w:r>
    </w:p>
    <w:p w14:paraId="16E1EF3C">
      <w:pPr>
        <w:spacing w:line="440" w:lineRule="exact"/>
        <w:ind w:firstLine="420" w:firstLineChars="200"/>
        <w:rPr>
          <w:rFonts w:ascii="Times New Roman" w:hAnsi="Times New Roman"/>
          <w:color w:val="000000"/>
          <w:szCs w:val="21"/>
        </w:rPr>
      </w:pPr>
      <w:r>
        <w:rPr>
          <w:rFonts w:ascii="Times New Roman" w:hAnsi="Times New Roman"/>
          <w:color w:val="000000"/>
          <w:szCs w:val="21"/>
        </w:rPr>
        <w:t>GB/T 3836.3</w:t>
      </w:r>
      <w:r>
        <w:rPr>
          <w:rFonts w:hint="eastAsia" w:ascii="Times New Roman" w:hAnsi="Times New Roman"/>
          <w:color w:val="000000"/>
          <w:szCs w:val="21"/>
          <w:lang w:eastAsia="zh-CN"/>
        </w:rPr>
        <w:t>-</w:t>
      </w:r>
      <w:r>
        <w:rPr>
          <w:rFonts w:ascii="Times New Roman" w:hAnsi="Times New Roman"/>
          <w:color w:val="000000"/>
          <w:szCs w:val="21"/>
        </w:rPr>
        <w:t xml:space="preserve">2021 </w:t>
      </w:r>
      <w:r>
        <w:rPr>
          <w:rFonts w:hint="eastAsia" w:ascii="Times New Roman" w:hAnsi="Times New Roman"/>
          <w:color w:val="000000"/>
          <w:szCs w:val="21"/>
          <w:lang w:val="en-US" w:eastAsia="zh-CN"/>
        </w:rPr>
        <w:t xml:space="preserve">  </w:t>
      </w:r>
      <w:r>
        <w:rPr>
          <w:rFonts w:ascii="Times New Roman" w:hAnsi="Times New Roman"/>
          <w:color w:val="000000"/>
          <w:szCs w:val="21"/>
        </w:rPr>
        <w:t>爆炸性环境  第3部分：由增安型“e”保护的设备</w:t>
      </w:r>
    </w:p>
    <w:p w14:paraId="4C108EC3">
      <w:pPr>
        <w:adjustRightInd w:val="0"/>
        <w:snapToGrid w:val="0"/>
        <w:spacing w:line="440" w:lineRule="exact"/>
        <w:ind w:firstLine="411" w:firstLineChars="196"/>
        <w:rPr>
          <w:rFonts w:ascii="Times New Roman" w:hAnsi="Times New Roman"/>
          <w:color w:val="000000"/>
          <w:szCs w:val="21"/>
        </w:rPr>
      </w:pPr>
      <w:r>
        <w:rPr>
          <w:rFonts w:ascii="Times New Roman" w:hAnsi="Times New Roman"/>
          <w:color w:val="000000"/>
          <w:szCs w:val="21"/>
        </w:rPr>
        <w:t>GB/T 1032</w:t>
      </w:r>
      <w:r>
        <w:rPr>
          <w:rFonts w:hint="eastAsia" w:ascii="Times New Roman" w:hAnsi="Times New Roman"/>
          <w:color w:val="000000"/>
          <w:szCs w:val="21"/>
          <w:lang w:eastAsia="zh-CN"/>
        </w:rPr>
        <w:t>-</w:t>
      </w:r>
      <w:r>
        <w:rPr>
          <w:rFonts w:ascii="Times New Roman" w:hAnsi="Times New Roman"/>
          <w:color w:val="000000"/>
          <w:szCs w:val="21"/>
        </w:rPr>
        <w:t>2023</w:t>
      </w:r>
      <w:r>
        <w:rPr>
          <w:rFonts w:hint="eastAsia" w:ascii="Times New Roman" w:hAnsi="Times New Roman"/>
          <w:color w:val="000000"/>
          <w:szCs w:val="21"/>
          <w:lang w:val="en-US" w:eastAsia="zh-CN"/>
        </w:rPr>
        <w:t xml:space="preserve">    </w:t>
      </w:r>
      <w:r>
        <w:rPr>
          <w:rFonts w:ascii="Times New Roman" w:hAnsi="Times New Roman"/>
          <w:color w:val="000000"/>
          <w:szCs w:val="21"/>
        </w:rPr>
        <w:t xml:space="preserve"> 三相异步电动机试验方法</w:t>
      </w:r>
    </w:p>
    <w:p w14:paraId="380CF24C">
      <w:pPr>
        <w:spacing w:line="440" w:lineRule="exact"/>
        <w:ind w:firstLine="420" w:firstLineChars="200"/>
        <w:rPr>
          <w:rFonts w:hint="eastAsia" w:ascii="Times New Roman" w:hAnsi="Times New Roman"/>
          <w:szCs w:val="21"/>
        </w:rPr>
      </w:pPr>
      <w:r>
        <w:rPr>
          <w:rFonts w:ascii="Times New Roman" w:hAnsi="Times New Roman"/>
          <w:color w:val="000000"/>
          <w:szCs w:val="21"/>
        </w:rPr>
        <w:t>GB 18613</w:t>
      </w:r>
      <w:r>
        <w:rPr>
          <w:rFonts w:hint="eastAsia" w:ascii="Times New Roman" w:hAnsi="Times New Roman"/>
          <w:color w:val="000000"/>
          <w:szCs w:val="21"/>
          <w:lang w:eastAsia="zh-CN"/>
        </w:rPr>
        <w:t>-</w:t>
      </w:r>
      <w:r>
        <w:rPr>
          <w:rFonts w:ascii="Times New Roman" w:hAnsi="Times New Roman"/>
          <w:color w:val="000000"/>
          <w:szCs w:val="21"/>
        </w:rPr>
        <w:t xml:space="preserve">2020 </w:t>
      </w:r>
      <w:r>
        <w:rPr>
          <w:rFonts w:hint="eastAsia" w:ascii="Times New Roman" w:hAnsi="Times New Roman"/>
          <w:color w:val="000000"/>
          <w:szCs w:val="21"/>
          <w:lang w:val="en-US" w:eastAsia="zh-CN"/>
        </w:rPr>
        <w:t xml:space="preserve">    </w:t>
      </w:r>
      <w:r>
        <w:rPr>
          <w:rFonts w:ascii="Times New Roman" w:hAnsi="Times New Roman"/>
          <w:color w:val="000000"/>
          <w:szCs w:val="21"/>
        </w:rPr>
        <w:t>电动机能效限定值及能效等级</w:t>
      </w:r>
      <w:r>
        <w:rPr>
          <w:rFonts w:hint="eastAsia" w:ascii="Times New Roman" w:hAnsi="Times New Roman"/>
          <w:szCs w:val="21"/>
        </w:rPr>
        <w:t xml:space="preserve"> </w:t>
      </w:r>
    </w:p>
    <w:p w14:paraId="53CE3945">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42214BBF">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3.2判定原则</w:t>
      </w:r>
    </w:p>
    <w:p w14:paraId="1A408DDF">
      <w:pPr>
        <w:snapToGrid w:val="0"/>
        <w:spacing w:line="440" w:lineRule="exact"/>
        <w:ind w:firstLine="420" w:firstLineChars="200"/>
        <w:rPr>
          <w:rFonts w:hint="eastAsia" w:ascii="Times New Roman" w:hAnsi="Times New Roman"/>
          <w:color w:val="000000"/>
          <w:szCs w:val="21"/>
        </w:rPr>
      </w:pPr>
      <w:r>
        <w:rPr>
          <w:rFonts w:ascii="Times New Roman" w:hAnsi="Times New Roman"/>
          <w:color w:val="000000"/>
          <w:szCs w:val="21"/>
        </w:rPr>
        <w:t>经检验，检验项目全部合格，判定为被抽查产品</w:t>
      </w:r>
      <w:r>
        <w:rPr>
          <w:rFonts w:hint="eastAsia" w:ascii="Times New Roman" w:hAnsi="Times New Roman"/>
          <w:color w:val="000000"/>
          <w:szCs w:val="21"/>
        </w:rPr>
        <w:t>所检项目未发现不</w:t>
      </w:r>
      <w:r>
        <w:rPr>
          <w:rFonts w:ascii="Times New Roman" w:hAnsi="Times New Roman"/>
          <w:color w:val="000000"/>
          <w:szCs w:val="21"/>
        </w:rPr>
        <w:t>合格；检验项目中任一项或一项以上不合格，判定为被抽查产品不合格。</w:t>
      </w:r>
    </w:p>
    <w:p w14:paraId="22982023">
      <w:pPr>
        <w:snapToGrid w:val="0"/>
        <w:spacing w:line="440" w:lineRule="exact"/>
        <w:ind w:firstLine="417" w:firstLineChars="199"/>
        <w:rPr>
          <w:rFonts w:hint="eastAsia" w:ascii="Times New Roman" w:hAnsi="Times New Roman"/>
          <w:color w:val="000000"/>
          <w:szCs w:val="21"/>
        </w:rPr>
      </w:pPr>
      <w:r>
        <w:rPr>
          <w:rFonts w:hint="eastAsia" w:ascii="Times New Roman" w:hAnsi="Times New Roman"/>
          <w:color w:val="000000"/>
          <w:szCs w:val="21"/>
        </w:rPr>
        <w:t>若被检产品明示的质量要求高于本细则中检验项目依据的标准要求时，应按被检产品明示的质量要求判定。</w:t>
      </w:r>
    </w:p>
    <w:p w14:paraId="0C5F8F89">
      <w:pPr>
        <w:snapToGrid w:val="0"/>
        <w:spacing w:line="440" w:lineRule="exact"/>
        <w:ind w:firstLine="417" w:firstLineChars="199"/>
        <w:rPr>
          <w:rFonts w:hint="eastAsia" w:ascii="Times New Roman" w:hAnsi="Times New Roman"/>
          <w:color w:val="000000"/>
          <w:szCs w:val="21"/>
        </w:rPr>
      </w:pPr>
      <w:r>
        <w:rPr>
          <w:rFonts w:hint="eastAsia" w:ascii="Times New Roman" w:hAnsi="Times New Roman"/>
          <w:color w:val="000000"/>
          <w:szCs w:val="21"/>
        </w:rPr>
        <w:t>若被检产品明示的质量要求低于本细则中检验项目依据的强制性标准要求时，应按照强制性标准要求判定。</w:t>
      </w:r>
    </w:p>
    <w:p w14:paraId="30E3A175">
      <w:pPr>
        <w:snapToGrid w:val="0"/>
        <w:spacing w:line="440" w:lineRule="exact"/>
        <w:ind w:firstLine="417" w:firstLineChars="199"/>
        <w:rPr>
          <w:rFonts w:hint="eastAsia" w:ascii="Times New Roman" w:hAnsi="Times New Roman"/>
          <w:color w:val="000000"/>
          <w:szCs w:val="21"/>
        </w:rPr>
      </w:pPr>
      <w:r>
        <w:rPr>
          <w:rFonts w:hint="eastAsia" w:ascii="Times New Roman" w:hAnsi="Times New Roman"/>
          <w:color w:val="000000"/>
          <w:szCs w:val="21"/>
        </w:rPr>
        <w:t>若被检产品明示的质量要求低于或包含本细则中检验项目依据的推荐性标准要求时，应以被检产品明示的质量要求判定。</w:t>
      </w:r>
    </w:p>
    <w:p w14:paraId="2FC81206">
      <w:pPr>
        <w:snapToGrid w:val="0"/>
        <w:spacing w:line="440" w:lineRule="exact"/>
        <w:ind w:firstLine="417" w:firstLineChars="199"/>
        <w:rPr>
          <w:rFonts w:hint="eastAsia" w:ascii="Times New Roman" w:hAnsi="Times New Roman"/>
          <w:color w:val="000000"/>
          <w:szCs w:val="21"/>
        </w:rPr>
      </w:pPr>
      <w:r>
        <w:rPr>
          <w:rFonts w:hint="eastAsia" w:ascii="Times New Roman" w:hAnsi="Times New Roman"/>
          <w:color w:val="000000"/>
          <w:szCs w:val="21"/>
        </w:rPr>
        <w:t>若被检产品明示的质量要求缺少本细则中检验项目依据的强制性标准要求时，应按照强制性标准要求判定。</w:t>
      </w:r>
    </w:p>
    <w:p w14:paraId="168824CF">
      <w:pPr>
        <w:snapToGrid w:val="0"/>
        <w:spacing w:line="440" w:lineRule="exact"/>
        <w:ind w:firstLine="417" w:firstLineChars="199"/>
        <w:rPr>
          <w:rFonts w:hint="default" w:ascii="Times New Roman" w:hAnsi="Times New Roman"/>
          <w:color w:val="000000"/>
          <w:szCs w:val="21"/>
          <w:lang w:val="en-US" w:eastAsia="zh-CN"/>
        </w:rPr>
      </w:pPr>
      <w:r>
        <w:rPr>
          <w:rFonts w:hint="eastAsia" w:ascii="Times New Roman" w:hAnsi="Times New Roman"/>
          <w:color w:val="000000"/>
          <w:szCs w:val="21"/>
        </w:rPr>
        <w:t>若被检产品明示的质量要求缺少本细则中检验项目依据的推荐性标准要求时，该项目不参与判定。</w:t>
      </w:r>
    </w:p>
    <w:bookmarkEnd w:id="0"/>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8F475">
    <w:pPr>
      <w:pStyle w:val="4"/>
      <w:framePr w:wrap="around" w:vAnchor="text" w:hAnchor="margin" w:xAlign="center" w:y="1"/>
      <w:rPr>
        <w:rStyle w:val="10"/>
      </w:rPr>
    </w:pPr>
    <w:r>
      <w:fldChar w:fldCharType="begin"/>
    </w:r>
    <w:r>
      <w:rPr>
        <w:rStyle w:val="10"/>
      </w:rPr>
      <w:instrText xml:space="preserve">PAGE  </w:instrText>
    </w:r>
    <w:r>
      <w:fldChar w:fldCharType="end"/>
    </w:r>
  </w:p>
  <w:p w14:paraId="16223C54">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DA0FC">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9BF5B62"/>
    <w:rsid w:val="0A741622"/>
    <w:rsid w:val="0A7C6F3F"/>
    <w:rsid w:val="0C7524DA"/>
    <w:rsid w:val="12DB7D35"/>
    <w:rsid w:val="14BC550F"/>
    <w:rsid w:val="14BE68B4"/>
    <w:rsid w:val="150243CF"/>
    <w:rsid w:val="183D15CD"/>
    <w:rsid w:val="1A5F2FF9"/>
    <w:rsid w:val="1AC23AA4"/>
    <w:rsid w:val="1ED927CA"/>
    <w:rsid w:val="1EE312F0"/>
    <w:rsid w:val="22C439A8"/>
    <w:rsid w:val="22F83FEB"/>
    <w:rsid w:val="232259B1"/>
    <w:rsid w:val="25F63A90"/>
    <w:rsid w:val="2EBD4E5E"/>
    <w:rsid w:val="315A3A17"/>
    <w:rsid w:val="33024A12"/>
    <w:rsid w:val="33935754"/>
    <w:rsid w:val="345B166C"/>
    <w:rsid w:val="3B6F64AD"/>
    <w:rsid w:val="3EB500A0"/>
    <w:rsid w:val="4166035D"/>
    <w:rsid w:val="42910561"/>
    <w:rsid w:val="438E1DC6"/>
    <w:rsid w:val="44C77869"/>
    <w:rsid w:val="45C269AF"/>
    <w:rsid w:val="46EC695D"/>
    <w:rsid w:val="495F0FDE"/>
    <w:rsid w:val="4A6F4933"/>
    <w:rsid w:val="4C545E87"/>
    <w:rsid w:val="4F4677F4"/>
    <w:rsid w:val="50CE37D0"/>
    <w:rsid w:val="51D41E84"/>
    <w:rsid w:val="54AD4386"/>
    <w:rsid w:val="575368DE"/>
    <w:rsid w:val="5B9B2A5D"/>
    <w:rsid w:val="5BA54263"/>
    <w:rsid w:val="60FF6850"/>
    <w:rsid w:val="61700C15"/>
    <w:rsid w:val="61792078"/>
    <w:rsid w:val="636B4B31"/>
    <w:rsid w:val="658253BB"/>
    <w:rsid w:val="66567E48"/>
    <w:rsid w:val="67C52C48"/>
    <w:rsid w:val="68B32778"/>
    <w:rsid w:val="69194A71"/>
    <w:rsid w:val="6AF21B11"/>
    <w:rsid w:val="6AFE1987"/>
    <w:rsid w:val="6E7039B0"/>
    <w:rsid w:val="6FF173C5"/>
    <w:rsid w:val="70CC398E"/>
    <w:rsid w:val="74604B19"/>
    <w:rsid w:val="784F12E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1068</Words>
  <Characters>1612</Characters>
  <Lines>131</Lines>
  <Paragraphs>159</Paragraphs>
  <TotalTime>0</TotalTime>
  <ScaleCrop>false</ScaleCrop>
  <LinksUpToDate>false</LinksUpToDate>
  <CharactersWithSpaces>1698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2026-03-30T08:29:10Z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