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442150">
      <w:pPr>
        <w:adjustRightInd w:val="0"/>
        <w:snapToGrid w:val="0"/>
        <w:spacing w:line="440" w:lineRule="exact"/>
        <w:jc w:val="center"/>
        <w:rPr>
          <w:rFonts w:ascii="Times New Roman" w:hAnsi="Times New Roman" w:eastAsia="方正小标宋简体" w:cs="方正仿宋简体"/>
          <w:sz w:val="32"/>
          <w:szCs w:val="32"/>
        </w:rPr>
      </w:pPr>
      <w:bookmarkStart w:id="0" w:name="_GoBack"/>
      <w:r>
        <w:rPr>
          <w:rFonts w:hint="eastAsia" w:ascii="Times New Roman" w:hAnsi="Times New Roman" w:eastAsia="方正小标宋简体" w:cs="方正仿宋简体"/>
          <w:sz w:val="32"/>
          <w:szCs w:val="32"/>
        </w:rPr>
        <w:t>沈阳市童车产品质量监督抽查实施细则</w:t>
      </w:r>
    </w:p>
    <w:p w14:paraId="40BEB88E">
      <w:pPr>
        <w:snapToGrid w:val="0"/>
        <w:spacing w:line="440" w:lineRule="exact"/>
        <w:rPr>
          <w:rFonts w:ascii="Times New Roman" w:hAnsi="Times New Roman" w:eastAsia="黑体"/>
          <w:szCs w:val="21"/>
        </w:rPr>
      </w:pPr>
    </w:p>
    <w:p w14:paraId="526447A0">
      <w:pPr>
        <w:adjustRightInd w:val="0"/>
        <w:snapToGrid w:val="0"/>
        <w:spacing w:line="440" w:lineRule="exact"/>
        <w:rPr>
          <w:rFonts w:ascii="Times New Roman" w:hAnsi="Times New Roman" w:eastAsia="黑体"/>
          <w:color w:val="000000"/>
          <w:szCs w:val="21"/>
        </w:rPr>
      </w:pPr>
      <w:r>
        <w:rPr>
          <w:rFonts w:ascii="Times New Roman" w:hAnsi="Times New Roman" w:eastAsia="黑体"/>
          <w:color w:val="000000"/>
          <w:szCs w:val="21"/>
        </w:rPr>
        <w:t>1 抽样方法</w:t>
      </w:r>
    </w:p>
    <w:p w14:paraId="6C1C94FF">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以随机抽样的方式在被抽样生产者、销售者的待销产品中抽取。</w:t>
      </w:r>
    </w:p>
    <w:p w14:paraId="1F8CEC9B">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随机数一般可使用随机数表等方法产生。</w:t>
      </w:r>
    </w:p>
    <w:p w14:paraId="7C5DB46C">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每批次抽样数量见表1。</w:t>
      </w:r>
    </w:p>
    <w:p w14:paraId="49FFC097">
      <w:pPr>
        <w:pStyle w:val="19"/>
        <w:tabs>
          <w:tab w:val="clear" w:pos="840"/>
        </w:tabs>
        <w:spacing w:line="440" w:lineRule="exact"/>
        <w:ind w:firstLine="200"/>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表1 抽取样品数量</w:t>
      </w:r>
    </w:p>
    <w:tbl>
      <w:tblPr>
        <w:tblStyle w:val="9"/>
        <w:tblW w:w="8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980"/>
        <w:gridCol w:w="1755"/>
        <w:gridCol w:w="2055"/>
        <w:gridCol w:w="2042"/>
      </w:tblGrid>
      <w:tr w14:paraId="3A505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98" w:type="dxa"/>
            <w:vAlign w:val="center"/>
          </w:tcPr>
          <w:p w14:paraId="01B52B67">
            <w:pPr>
              <w:widowControl/>
              <w:jc w:val="center"/>
              <w:rPr>
                <w:rFonts w:ascii="Times New Roman" w:hAnsi="Times New Roman"/>
                <w:bCs/>
                <w:color w:val="000000"/>
                <w:kern w:val="0"/>
              </w:rPr>
            </w:pPr>
            <w:r>
              <w:rPr>
                <w:rFonts w:ascii="Times New Roman" w:hAnsi="Times New Roman"/>
                <w:bCs/>
                <w:color w:val="000000"/>
                <w:kern w:val="0"/>
              </w:rPr>
              <w:t>序号</w:t>
            </w:r>
          </w:p>
        </w:tc>
        <w:tc>
          <w:tcPr>
            <w:tcW w:w="1980" w:type="dxa"/>
            <w:vAlign w:val="center"/>
          </w:tcPr>
          <w:p w14:paraId="1E4ED29B">
            <w:pPr>
              <w:widowControl/>
              <w:jc w:val="center"/>
              <w:rPr>
                <w:rFonts w:ascii="Times New Roman" w:hAnsi="Times New Roman"/>
                <w:bCs/>
                <w:color w:val="000000"/>
                <w:kern w:val="0"/>
              </w:rPr>
            </w:pPr>
            <w:r>
              <w:rPr>
                <w:rFonts w:ascii="Times New Roman" w:hAnsi="Times New Roman"/>
                <w:bCs/>
                <w:color w:val="000000"/>
                <w:kern w:val="0"/>
              </w:rPr>
              <w:t>产品种类</w:t>
            </w:r>
          </w:p>
        </w:tc>
        <w:tc>
          <w:tcPr>
            <w:tcW w:w="1755" w:type="dxa"/>
            <w:vAlign w:val="center"/>
          </w:tcPr>
          <w:p w14:paraId="50F24306">
            <w:pPr>
              <w:widowControl/>
              <w:jc w:val="center"/>
              <w:rPr>
                <w:rFonts w:ascii="Times New Roman" w:hAnsi="Times New Roman"/>
                <w:bCs/>
                <w:color w:val="000000"/>
                <w:kern w:val="0"/>
              </w:rPr>
            </w:pPr>
            <w:r>
              <w:rPr>
                <w:rFonts w:ascii="Times New Roman" w:hAnsi="Times New Roman"/>
                <w:bCs/>
                <w:color w:val="000000"/>
                <w:kern w:val="0"/>
              </w:rPr>
              <w:t>抽样数量（辆）</w:t>
            </w:r>
          </w:p>
        </w:tc>
        <w:tc>
          <w:tcPr>
            <w:tcW w:w="2055" w:type="dxa"/>
            <w:vAlign w:val="center"/>
          </w:tcPr>
          <w:p w14:paraId="79022F4B">
            <w:pPr>
              <w:widowControl/>
              <w:jc w:val="center"/>
              <w:rPr>
                <w:rFonts w:ascii="Times New Roman" w:hAnsi="Times New Roman"/>
                <w:bCs/>
                <w:color w:val="000000"/>
                <w:kern w:val="0"/>
              </w:rPr>
            </w:pPr>
            <w:r>
              <w:rPr>
                <w:rFonts w:ascii="Times New Roman" w:hAnsi="Times New Roman"/>
                <w:color w:val="000000"/>
                <w:szCs w:val="21"/>
              </w:rPr>
              <w:t>检验样品数量</w:t>
            </w:r>
            <w:r>
              <w:rPr>
                <w:rFonts w:ascii="Times New Roman" w:hAnsi="Times New Roman"/>
                <w:bCs/>
                <w:color w:val="000000"/>
                <w:kern w:val="0"/>
              </w:rPr>
              <w:t>（辆）</w:t>
            </w:r>
          </w:p>
        </w:tc>
        <w:tc>
          <w:tcPr>
            <w:tcW w:w="2042" w:type="dxa"/>
            <w:vAlign w:val="center"/>
          </w:tcPr>
          <w:p w14:paraId="63DD4296">
            <w:pPr>
              <w:widowControl/>
              <w:jc w:val="center"/>
              <w:rPr>
                <w:rFonts w:ascii="Times New Roman" w:hAnsi="Times New Roman"/>
                <w:bCs/>
                <w:color w:val="000000"/>
                <w:kern w:val="0"/>
              </w:rPr>
            </w:pPr>
            <w:r>
              <w:rPr>
                <w:rFonts w:ascii="Times New Roman" w:hAnsi="Times New Roman"/>
                <w:color w:val="000000"/>
                <w:szCs w:val="21"/>
              </w:rPr>
              <w:t>备用样品数量</w:t>
            </w:r>
            <w:r>
              <w:rPr>
                <w:rFonts w:ascii="Times New Roman" w:hAnsi="Times New Roman"/>
                <w:bCs/>
                <w:color w:val="000000"/>
                <w:kern w:val="0"/>
              </w:rPr>
              <w:t>（辆）</w:t>
            </w:r>
          </w:p>
        </w:tc>
      </w:tr>
      <w:tr w14:paraId="7B91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8" w:type="dxa"/>
            <w:vAlign w:val="center"/>
          </w:tcPr>
          <w:p w14:paraId="638AB9ED">
            <w:pPr>
              <w:adjustRightInd w:val="0"/>
              <w:jc w:val="center"/>
              <w:rPr>
                <w:rFonts w:ascii="Times New Roman" w:hAnsi="Times New Roman"/>
                <w:color w:val="000000"/>
              </w:rPr>
            </w:pPr>
            <w:r>
              <w:rPr>
                <w:rFonts w:hint="eastAsia" w:ascii="Times New Roman" w:hAnsi="Times New Roman"/>
                <w:color w:val="000000"/>
              </w:rPr>
              <w:t>1</w:t>
            </w:r>
          </w:p>
        </w:tc>
        <w:tc>
          <w:tcPr>
            <w:tcW w:w="1980" w:type="dxa"/>
            <w:vAlign w:val="center"/>
          </w:tcPr>
          <w:p w14:paraId="5C0BAD9C">
            <w:pPr>
              <w:adjustRightInd w:val="0"/>
              <w:jc w:val="center"/>
              <w:rPr>
                <w:rFonts w:ascii="Times New Roman" w:hAnsi="Times New Roman"/>
                <w:color w:val="000000"/>
                <w:kern w:val="0"/>
              </w:rPr>
            </w:pPr>
            <w:r>
              <w:rPr>
                <w:rFonts w:ascii="Times New Roman" w:hAnsi="Times New Roman"/>
                <w:color w:val="000000"/>
              </w:rPr>
              <w:t>儿童推车</w:t>
            </w:r>
          </w:p>
        </w:tc>
        <w:tc>
          <w:tcPr>
            <w:tcW w:w="1755" w:type="dxa"/>
            <w:vAlign w:val="center"/>
          </w:tcPr>
          <w:p w14:paraId="471024D2">
            <w:pPr>
              <w:widowControl/>
              <w:jc w:val="center"/>
              <w:rPr>
                <w:rFonts w:ascii="Times New Roman" w:hAnsi="Times New Roman"/>
                <w:color w:val="000000"/>
                <w:kern w:val="0"/>
              </w:rPr>
            </w:pPr>
            <w:r>
              <w:rPr>
                <w:rFonts w:ascii="Times New Roman" w:hAnsi="Times New Roman"/>
                <w:color w:val="000000"/>
                <w:kern w:val="0"/>
              </w:rPr>
              <w:t>2</w:t>
            </w:r>
          </w:p>
        </w:tc>
        <w:tc>
          <w:tcPr>
            <w:tcW w:w="2055" w:type="dxa"/>
            <w:vAlign w:val="center"/>
          </w:tcPr>
          <w:p w14:paraId="51615C63">
            <w:pPr>
              <w:widowControl/>
              <w:jc w:val="center"/>
              <w:rPr>
                <w:rFonts w:ascii="Times New Roman" w:hAnsi="Times New Roman"/>
                <w:color w:val="000000"/>
                <w:kern w:val="0"/>
              </w:rPr>
            </w:pPr>
            <w:r>
              <w:rPr>
                <w:rFonts w:ascii="Times New Roman" w:hAnsi="Times New Roman"/>
                <w:color w:val="000000"/>
                <w:kern w:val="0"/>
              </w:rPr>
              <w:t>1</w:t>
            </w:r>
          </w:p>
        </w:tc>
        <w:tc>
          <w:tcPr>
            <w:tcW w:w="2042" w:type="dxa"/>
            <w:vAlign w:val="center"/>
          </w:tcPr>
          <w:p w14:paraId="1F22227A">
            <w:pPr>
              <w:widowControl/>
              <w:jc w:val="center"/>
              <w:rPr>
                <w:rFonts w:ascii="Times New Roman" w:hAnsi="Times New Roman"/>
                <w:color w:val="000000"/>
                <w:kern w:val="0"/>
              </w:rPr>
            </w:pPr>
            <w:r>
              <w:rPr>
                <w:rFonts w:ascii="Times New Roman" w:hAnsi="Times New Roman"/>
                <w:color w:val="000000"/>
                <w:kern w:val="0"/>
              </w:rPr>
              <w:t>1</w:t>
            </w:r>
          </w:p>
        </w:tc>
      </w:tr>
      <w:tr w14:paraId="7905D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8" w:type="dxa"/>
            <w:vAlign w:val="center"/>
          </w:tcPr>
          <w:p w14:paraId="115047E3">
            <w:pPr>
              <w:adjustRightInd w:val="0"/>
              <w:jc w:val="center"/>
              <w:rPr>
                <w:rFonts w:ascii="Times New Roman" w:hAnsi="Times New Roman"/>
                <w:color w:val="000000"/>
              </w:rPr>
            </w:pPr>
            <w:r>
              <w:rPr>
                <w:rFonts w:hint="eastAsia" w:ascii="Times New Roman" w:hAnsi="Times New Roman"/>
                <w:color w:val="000000"/>
              </w:rPr>
              <w:t>2</w:t>
            </w:r>
          </w:p>
        </w:tc>
        <w:tc>
          <w:tcPr>
            <w:tcW w:w="1980" w:type="dxa"/>
            <w:vAlign w:val="center"/>
          </w:tcPr>
          <w:p w14:paraId="4FE298D2">
            <w:pPr>
              <w:adjustRightInd w:val="0"/>
              <w:jc w:val="center"/>
              <w:rPr>
                <w:rFonts w:ascii="Times New Roman" w:hAnsi="Times New Roman"/>
                <w:color w:val="000000"/>
                <w:kern w:val="0"/>
              </w:rPr>
            </w:pPr>
            <w:r>
              <w:rPr>
                <w:rFonts w:ascii="Times New Roman" w:hAnsi="Times New Roman"/>
                <w:color w:val="000000"/>
              </w:rPr>
              <w:t>婴儿学步车</w:t>
            </w:r>
          </w:p>
        </w:tc>
        <w:tc>
          <w:tcPr>
            <w:tcW w:w="1755" w:type="dxa"/>
            <w:vAlign w:val="center"/>
          </w:tcPr>
          <w:p w14:paraId="430D8376">
            <w:pPr>
              <w:widowControl/>
              <w:jc w:val="center"/>
              <w:rPr>
                <w:rFonts w:ascii="Times New Roman" w:hAnsi="Times New Roman"/>
                <w:color w:val="000000"/>
                <w:kern w:val="0"/>
              </w:rPr>
            </w:pPr>
            <w:r>
              <w:rPr>
                <w:rFonts w:ascii="Times New Roman" w:hAnsi="Times New Roman"/>
                <w:color w:val="000000"/>
                <w:kern w:val="0"/>
              </w:rPr>
              <w:t>2</w:t>
            </w:r>
          </w:p>
        </w:tc>
        <w:tc>
          <w:tcPr>
            <w:tcW w:w="2055" w:type="dxa"/>
            <w:vAlign w:val="center"/>
          </w:tcPr>
          <w:p w14:paraId="7879112B">
            <w:pPr>
              <w:widowControl/>
              <w:jc w:val="center"/>
              <w:rPr>
                <w:rFonts w:ascii="Times New Roman" w:hAnsi="Times New Roman"/>
                <w:color w:val="000000"/>
                <w:kern w:val="0"/>
              </w:rPr>
            </w:pPr>
            <w:r>
              <w:rPr>
                <w:rFonts w:ascii="Times New Roman" w:hAnsi="Times New Roman"/>
                <w:color w:val="000000"/>
                <w:kern w:val="0"/>
              </w:rPr>
              <w:t>1</w:t>
            </w:r>
          </w:p>
        </w:tc>
        <w:tc>
          <w:tcPr>
            <w:tcW w:w="2042" w:type="dxa"/>
            <w:vAlign w:val="center"/>
          </w:tcPr>
          <w:p w14:paraId="57948D84">
            <w:pPr>
              <w:widowControl/>
              <w:jc w:val="center"/>
              <w:rPr>
                <w:rFonts w:ascii="Times New Roman" w:hAnsi="Times New Roman"/>
                <w:color w:val="000000"/>
                <w:kern w:val="0"/>
              </w:rPr>
            </w:pPr>
            <w:r>
              <w:rPr>
                <w:rFonts w:ascii="Times New Roman" w:hAnsi="Times New Roman"/>
                <w:color w:val="000000"/>
                <w:kern w:val="0"/>
              </w:rPr>
              <w:t>1</w:t>
            </w:r>
          </w:p>
        </w:tc>
      </w:tr>
    </w:tbl>
    <w:p w14:paraId="3391F6C8">
      <w:pPr>
        <w:adjustRightInd w:val="0"/>
        <w:snapToGrid w:val="0"/>
        <w:spacing w:line="440" w:lineRule="exact"/>
        <w:ind w:firstLine="420" w:firstLineChars="200"/>
        <w:rPr>
          <w:rFonts w:ascii="Times New Roman" w:hAnsi="Times New Roman"/>
          <w:color w:val="000000"/>
          <w:szCs w:val="21"/>
        </w:rPr>
      </w:pPr>
    </w:p>
    <w:p w14:paraId="65DB40F4">
      <w:pPr>
        <w:snapToGrid w:val="0"/>
        <w:spacing w:line="440" w:lineRule="exact"/>
        <w:rPr>
          <w:rFonts w:ascii="Times New Roman" w:hAnsi="Times New Roman" w:eastAsia="黑体"/>
          <w:szCs w:val="21"/>
        </w:rPr>
      </w:pPr>
      <w:r>
        <w:rPr>
          <w:rFonts w:hint="eastAsia" w:ascii="Times New Roman" w:hAnsi="Times New Roman" w:eastAsia="黑体"/>
          <w:szCs w:val="21"/>
        </w:rPr>
        <w:t>2检验依据</w:t>
      </w:r>
    </w:p>
    <w:p w14:paraId="64A0B47B">
      <w:pPr>
        <w:pStyle w:val="7"/>
        <w:widowControl w:val="0"/>
        <w:adjustRightInd w:val="0"/>
        <w:snapToGrid w:val="0"/>
        <w:spacing w:before="0" w:beforeAutospacing="0" w:after="0" w:afterAutospacing="0" w:line="440" w:lineRule="exact"/>
        <w:contextualSpacing/>
        <w:jc w:val="center"/>
        <w:rPr>
          <w:rFonts w:ascii="Times New Roman" w:hAnsi="Times New Roman" w:cs="Times New Roman"/>
          <w:kern w:val="2"/>
          <w:sz w:val="21"/>
          <w:szCs w:val="21"/>
        </w:rPr>
      </w:pPr>
      <w:r>
        <w:rPr>
          <w:rFonts w:ascii="Times New Roman" w:hAnsi="Times New Roman" w:cs="Times New Roman"/>
          <w:kern w:val="2"/>
          <w:sz w:val="21"/>
          <w:szCs w:val="21"/>
        </w:rPr>
        <w:t>表</w:t>
      </w:r>
      <w:r>
        <w:rPr>
          <w:rFonts w:hint="eastAsia" w:ascii="Times New Roman" w:hAnsi="Times New Roman" w:cs="Times New Roman"/>
          <w:kern w:val="2"/>
          <w:sz w:val="21"/>
          <w:szCs w:val="21"/>
          <w:highlight w:val="none"/>
          <w:lang w:val="en-US" w:eastAsia="zh-CN"/>
        </w:rPr>
        <w:t>2</w:t>
      </w:r>
      <w:r>
        <w:rPr>
          <w:rFonts w:ascii="Times New Roman" w:hAnsi="Times New Roman" w:cs="Times New Roman"/>
          <w:kern w:val="2"/>
          <w:sz w:val="21"/>
          <w:szCs w:val="21"/>
        </w:rPr>
        <w:t xml:space="preserve"> </w:t>
      </w:r>
      <w:r>
        <w:rPr>
          <w:rFonts w:ascii="Times New Roman" w:hAnsi="Times New Roman" w:cs="Times New Roman"/>
          <w:color w:val="000000"/>
          <w:kern w:val="2"/>
          <w:sz w:val="21"/>
          <w:szCs w:val="21"/>
        </w:rPr>
        <w:t>儿童推车</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117"/>
        <w:gridCol w:w="3685"/>
        <w:gridCol w:w="3872"/>
      </w:tblGrid>
      <w:tr w14:paraId="39895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644" w:type="pct"/>
            <w:vAlign w:val="center"/>
          </w:tcPr>
          <w:p w14:paraId="0438BB5D">
            <w:pPr>
              <w:pStyle w:val="3"/>
              <w:adjustRightInd w:val="0"/>
              <w:snapToGrid w:val="0"/>
              <w:spacing w:before="12" w:beforeLines="4" w:after="12" w:afterLines="4"/>
              <w:jc w:val="center"/>
              <w:rPr>
                <w:rFonts w:ascii="Times New Roman" w:hAnsi="Times New Roman"/>
                <w:color w:val="0D0D0D"/>
                <w:kern w:val="2"/>
                <w:sz w:val="21"/>
                <w:szCs w:val="21"/>
              </w:rPr>
            </w:pPr>
            <w:r>
              <w:rPr>
                <w:rFonts w:ascii="Times New Roman" w:hAnsi="Times New Roman"/>
                <w:color w:val="0D0D0D"/>
                <w:kern w:val="2"/>
                <w:sz w:val="21"/>
                <w:szCs w:val="21"/>
              </w:rPr>
              <w:t>序号</w:t>
            </w:r>
          </w:p>
        </w:tc>
        <w:tc>
          <w:tcPr>
            <w:tcW w:w="2124" w:type="pct"/>
            <w:vAlign w:val="center"/>
          </w:tcPr>
          <w:p w14:paraId="0F7888C0">
            <w:pPr>
              <w:pStyle w:val="3"/>
              <w:adjustRightInd w:val="0"/>
              <w:snapToGrid w:val="0"/>
              <w:spacing w:before="12" w:beforeLines="4" w:after="12" w:afterLines="4"/>
              <w:jc w:val="center"/>
              <w:rPr>
                <w:rFonts w:ascii="Times New Roman" w:hAnsi="Times New Roman"/>
                <w:color w:val="0D0D0D"/>
                <w:kern w:val="2"/>
                <w:sz w:val="21"/>
                <w:szCs w:val="21"/>
              </w:rPr>
            </w:pPr>
            <w:r>
              <w:rPr>
                <w:rFonts w:ascii="Times New Roman" w:hAnsi="Times New Roman"/>
                <w:color w:val="0D0D0D"/>
                <w:kern w:val="2"/>
                <w:sz w:val="21"/>
                <w:szCs w:val="21"/>
              </w:rPr>
              <w:t>检验项目</w:t>
            </w:r>
          </w:p>
        </w:tc>
        <w:tc>
          <w:tcPr>
            <w:tcW w:w="2232" w:type="pct"/>
            <w:vAlign w:val="center"/>
          </w:tcPr>
          <w:p w14:paraId="1E22D670">
            <w:pPr>
              <w:adjustRightInd w:val="0"/>
              <w:snapToGrid w:val="0"/>
              <w:jc w:val="center"/>
              <w:rPr>
                <w:rFonts w:ascii="Times New Roman" w:hAnsi="Times New Roman"/>
                <w:color w:val="0D0D0D"/>
                <w:szCs w:val="21"/>
              </w:rPr>
            </w:pPr>
            <w:r>
              <w:rPr>
                <w:rFonts w:ascii="Times New Roman" w:hAnsi="Times New Roman"/>
                <w:color w:val="0D0D0D"/>
                <w:szCs w:val="21"/>
              </w:rPr>
              <w:t>检验方法</w:t>
            </w:r>
          </w:p>
        </w:tc>
      </w:tr>
      <w:tr w14:paraId="76F36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6429A528">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1</w:t>
            </w:r>
          </w:p>
        </w:tc>
        <w:tc>
          <w:tcPr>
            <w:tcW w:w="2124" w:type="pct"/>
            <w:vAlign w:val="center"/>
          </w:tcPr>
          <w:p w14:paraId="2CB1D489">
            <w:pPr>
              <w:pStyle w:val="23"/>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材料质量</w:t>
            </w:r>
          </w:p>
        </w:tc>
        <w:tc>
          <w:tcPr>
            <w:tcW w:w="2232" w:type="pct"/>
            <w:vAlign w:val="center"/>
          </w:tcPr>
          <w:p w14:paraId="3D335FEA">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69DC6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73B010AA">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2</w:t>
            </w:r>
          </w:p>
        </w:tc>
        <w:tc>
          <w:tcPr>
            <w:tcW w:w="2124" w:type="pct"/>
            <w:vAlign w:val="center"/>
          </w:tcPr>
          <w:p w14:paraId="447C4850">
            <w:pPr>
              <w:pStyle w:val="22"/>
              <w:widowControl w:val="0"/>
              <w:adjustRightInd w:val="0"/>
              <w:snapToGrid w:val="0"/>
              <w:spacing w:before="12" w:beforeLines="4" w:after="12" w:afterLines="4"/>
              <w:ind w:firstLine="0"/>
              <w:jc w:val="center"/>
              <w:rPr>
                <w:rFonts w:ascii="Times New Roman" w:hAnsi="Times New Roman"/>
                <w:color w:val="0D0D0D"/>
                <w:kern w:val="2"/>
                <w:sz w:val="21"/>
                <w:szCs w:val="21"/>
              </w:rPr>
            </w:pPr>
            <w:r>
              <w:rPr>
                <w:rFonts w:ascii="Times New Roman" w:hAnsi="Times New Roman"/>
                <w:color w:val="0D0D0D"/>
                <w:kern w:val="2"/>
                <w:sz w:val="21"/>
                <w:szCs w:val="21"/>
              </w:rPr>
              <w:t>特定可迁移元素最大限量</w:t>
            </w:r>
          </w:p>
        </w:tc>
        <w:tc>
          <w:tcPr>
            <w:tcW w:w="2232" w:type="pct"/>
            <w:vAlign w:val="center"/>
          </w:tcPr>
          <w:p w14:paraId="6EEEF6F5">
            <w:pPr>
              <w:pStyle w:val="23"/>
              <w:adjustRightInd w:val="0"/>
              <w:snapToGrid w:val="0"/>
              <w:jc w:val="center"/>
              <w:rPr>
                <w:rFonts w:ascii="Times New Roman" w:hAnsi="Times New Roman"/>
                <w:color w:val="0D0D0D"/>
              </w:rPr>
            </w:pPr>
            <w:r>
              <w:rPr>
                <w:rFonts w:ascii="Times New Roman" w:hAnsi="Times New Roman"/>
                <w:color w:val="0D0D0D"/>
              </w:rPr>
              <w:t>GB 6675—2003 附录C</w:t>
            </w:r>
          </w:p>
          <w:p w14:paraId="6085034C">
            <w:pPr>
              <w:pStyle w:val="23"/>
              <w:adjustRightInd w:val="0"/>
              <w:snapToGrid w:val="0"/>
              <w:jc w:val="center"/>
              <w:rPr>
                <w:rFonts w:ascii="Times New Roman" w:hAnsi="Times New Roman"/>
                <w:color w:val="0D0D0D"/>
              </w:rPr>
            </w:pPr>
            <w:r>
              <w:rPr>
                <w:rFonts w:ascii="Times New Roman" w:hAnsi="Times New Roman"/>
                <w:bCs/>
              </w:rPr>
              <w:t>GB/T 26193—2010</w:t>
            </w:r>
            <w:r>
              <w:rPr>
                <w:rFonts w:hint="eastAsia" w:ascii="Times New Roman" w:hAnsi="Times New Roman"/>
                <w:bCs/>
              </w:rPr>
              <w:t>或</w:t>
            </w:r>
            <w:r>
              <w:rPr>
                <w:rFonts w:ascii="Times New Roman" w:hAnsi="Times New Roman"/>
                <w:bCs/>
              </w:rPr>
              <w:t>GB/T 30419</w:t>
            </w:r>
            <w:r>
              <w:rPr>
                <w:rFonts w:hint="eastAsia" w:ascii="Times New Roman" w:hAnsi="Times New Roman"/>
                <w:bCs/>
              </w:rPr>
              <w:t>—</w:t>
            </w:r>
            <w:r>
              <w:rPr>
                <w:rFonts w:ascii="Times New Roman" w:hAnsi="Times New Roman"/>
                <w:bCs/>
              </w:rPr>
              <w:t>2013</w:t>
            </w:r>
            <w:r>
              <w:rPr>
                <w:rFonts w:hint="eastAsia" w:ascii="Times New Roman" w:hAnsi="Times New Roman"/>
                <w:bCs/>
              </w:rPr>
              <w:t>或“</w:t>
            </w:r>
            <w:r>
              <w:rPr>
                <w:rFonts w:ascii="Times New Roman" w:hAnsi="Times New Roman"/>
                <w:bCs/>
              </w:rPr>
              <w:t>GB/T 32602</w:t>
            </w:r>
            <w:r>
              <w:rPr>
                <w:rFonts w:hint="eastAsia" w:ascii="Times New Roman" w:hAnsi="Times New Roman"/>
                <w:bCs/>
              </w:rPr>
              <w:t>—</w:t>
            </w:r>
            <w:r>
              <w:rPr>
                <w:rFonts w:ascii="Times New Roman" w:hAnsi="Times New Roman"/>
                <w:bCs/>
              </w:rPr>
              <w:t>2016</w:t>
            </w:r>
            <w:r>
              <w:rPr>
                <w:rFonts w:hint="eastAsia" w:ascii="Times New Roman" w:hAnsi="Times New Roman"/>
                <w:bCs/>
              </w:rPr>
              <w:t>和</w:t>
            </w:r>
            <w:r>
              <w:rPr>
                <w:rFonts w:ascii="Times New Roman" w:hAnsi="Times New Roman"/>
                <w:bCs/>
              </w:rPr>
              <w:t>GB/T 32603</w:t>
            </w:r>
            <w:r>
              <w:rPr>
                <w:rFonts w:hint="eastAsia" w:ascii="Times New Roman" w:hAnsi="Times New Roman"/>
                <w:bCs/>
              </w:rPr>
              <w:t>—</w:t>
            </w:r>
            <w:r>
              <w:rPr>
                <w:rFonts w:ascii="Times New Roman" w:hAnsi="Times New Roman"/>
                <w:bCs/>
              </w:rPr>
              <w:t>2016</w:t>
            </w:r>
            <w:r>
              <w:rPr>
                <w:rFonts w:hint="eastAsia" w:ascii="Times New Roman" w:hAnsi="Times New Roman"/>
                <w:bCs/>
              </w:rPr>
              <w:t>”</w:t>
            </w:r>
          </w:p>
        </w:tc>
      </w:tr>
      <w:tr w14:paraId="3BB10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46C8789E">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3</w:t>
            </w:r>
          </w:p>
        </w:tc>
        <w:tc>
          <w:tcPr>
            <w:tcW w:w="2124" w:type="pct"/>
            <w:vAlign w:val="center"/>
          </w:tcPr>
          <w:p w14:paraId="13C82D2D">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金属表面</w:t>
            </w:r>
          </w:p>
        </w:tc>
        <w:tc>
          <w:tcPr>
            <w:tcW w:w="2232" w:type="pct"/>
            <w:vAlign w:val="center"/>
          </w:tcPr>
          <w:p w14:paraId="0179E0C8">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5F998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1236C583">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4</w:t>
            </w:r>
          </w:p>
        </w:tc>
        <w:tc>
          <w:tcPr>
            <w:tcW w:w="2124" w:type="pct"/>
            <w:vAlign w:val="center"/>
          </w:tcPr>
          <w:p w14:paraId="5A43E098">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燃烧性能</w:t>
            </w:r>
          </w:p>
        </w:tc>
        <w:tc>
          <w:tcPr>
            <w:tcW w:w="2232" w:type="pct"/>
            <w:vAlign w:val="center"/>
          </w:tcPr>
          <w:p w14:paraId="790C1549">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214C8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207E2322">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5</w:t>
            </w:r>
          </w:p>
        </w:tc>
        <w:tc>
          <w:tcPr>
            <w:tcW w:w="2124" w:type="pct"/>
            <w:vAlign w:val="center"/>
          </w:tcPr>
          <w:p w14:paraId="22168FA4">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外露的开口管子</w:t>
            </w:r>
          </w:p>
        </w:tc>
        <w:tc>
          <w:tcPr>
            <w:tcW w:w="2232" w:type="pct"/>
            <w:vAlign w:val="center"/>
          </w:tcPr>
          <w:p w14:paraId="56915A92">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69526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0F88FC6B">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6</w:t>
            </w:r>
          </w:p>
        </w:tc>
        <w:tc>
          <w:tcPr>
            <w:tcW w:w="2124" w:type="pct"/>
            <w:vAlign w:val="center"/>
          </w:tcPr>
          <w:p w14:paraId="154845E1">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危险夹缝</w:t>
            </w:r>
          </w:p>
        </w:tc>
        <w:tc>
          <w:tcPr>
            <w:tcW w:w="2232" w:type="pct"/>
            <w:vAlign w:val="center"/>
          </w:tcPr>
          <w:p w14:paraId="10AD7446">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1F3AA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19A0D6A6">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7</w:t>
            </w:r>
          </w:p>
        </w:tc>
        <w:tc>
          <w:tcPr>
            <w:tcW w:w="2124" w:type="pct"/>
            <w:vAlign w:val="center"/>
          </w:tcPr>
          <w:p w14:paraId="4A576B2E">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剪切和挤夹点</w:t>
            </w:r>
          </w:p>
        </w:tc>
        <w:tc>
          <w:tcPr>
            <w:tcW w:w="2232" w:type="pct"/>
            <w:vAlign w:val="center"/>
          </w:tcPr>
          <w:p w14:paraId="16B7AB7D">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37189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27AC493F">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8</w:t>
            </w:r>
          </w:p>
        </w:tc>
        <w:tc>
          <w:tcPr>
            <w:tcW w:w="2124" w:type="pct"/>
            <w:vAlign w:val="center"/>
          </w:tcPr>
          <w:p w14:paraId="1782BD12">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锐利边缘和尖端</w:t>
            </w:r>
          </w:p>
        </w:tc>
        <w:tc>
          <w:tcPr>
            <w:tcW w:w="2232" w:type="pct"/>
            <w:vAlign w:val="center"/>
          </w:tcPr>
          <w:p w14:paraId="0D9C2473">
            <w:pPr>
              <w:pStyle w:val="23"/>
              <w:adjustRightInd w:val="0"/>
              <w:snapToGrid w:val="0"/>
              <w:jc w:val="center"/>
              <w:rPr>
                <w:rFonts w:ascii="Times New Roman" w:hAnsi="Times New Roman"/>
                <w:color w:val="0D0D0D"/>
              </w:rPr>
            </w:pPr>
            <w:r>
              <w:rPr>
                <w:rFonts w:ascii="Times New Roman" w:hAnsi="Times New Roman"/>
                <w:color w:val="0D0D0D"/>
              </w:rPr>
              <w:t>GB 6675—2003 A.5.8</w:t>
            </w:r>
          </w:p>
          <w:p w14:paraId="3A2EF923">
            <w:pPr>
              <w:pStyle w:val="23"/>
              <w:adjustRightInd w:val="0"/>
              <w:snapToGrid w:val="0"/>
              <w:jc w:val="center"/>
              <w:rPr>
                <w:rFonts w:ascii="Times New Roman" w:hAnsi="Times New Roman"/>
                <w:color w:val="0D0D0D"/>
              </w:rPr>
            </w:pPr>
            <w:r>
              <w:rPr>
                <w:rFonts w:ascii="Times New Roman" w:hAnsi="Times New Roman"/>
                <w:color w:val="0D0D0D"/>
              </w:rPr>
              <w:t>GB 6675—2003 A.5.9</w:t>
            </w:r>
          </w:p>
        </w:tc>
      </w:tr>
      <w:tr w14:paraId="4A866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458240AB">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9</w:t>
            </w:r>
          </w:p>
        </w:tc>
        <w:tc>
          <w:tcPr>
            <w:tcW w:w="2124" w:type="pct"/>
            <w:vAlign w:val="center"/>
          </w:tcPr>
          <w:p w14:paraId="30F7C87F">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小零件</w:t>
            </w:r>
          </w:p>
        </w:tc>
        <w:tc>
          <w:tcPr>
            <w:tcW w:w="2232" w:type="pct"/>
            <w:vAlign w:val="center"/>
          </w:tcPr>
          <w:p w14:paraId="2CD38AF4">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25A3A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21E2D4BE">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10</w:t>
            </w:r>
          </w:p>
        </w:tc>
        <w:tc>
          <w:tcPr>
            <w:tcW w:w="2124" w:type="pct"/>
            <w:vAlign w:val="center"/>
          </w:tcPr>
          <w:p w14:paraId="1608501F">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外露突出物</w:t>
            </w:r>
          </w:p>
        </w:tc>
        <w:tc>
          <w:tcPr>
            <w:tcW w:w="2232" w:type="pct"/>
            <w:vAlign w:val="center"/>
          </w:tcPr>
          <w:p w14:paraId="57F67998">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10BC8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138663AC">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11</w:t>
            </w:r>
          </w:p>
        </w:tc>
        <w:tc>
          <w:tcPr>
            <w:tcW w:w="2124" w:type="pct"/>
            <w:vAlign w:val="center"/>
          </w:tcPr>
          <w:p w14:paraId="25AA6CEA">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机械部件的连接</w:t>
            </w:r>
          </w:p>
        </w:tc>
        <w:tc>
          <w:tcPr>
            <w:tcW w:w="2232" w:type="pct"/>
            <w:vAlign w:val="center"/>
          </w:tcPr>
          <w:p w14:paraId="16212607">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16AD6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2B6AB575">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12</w:t>
            </w:r>
          </w:p>
        </w:tc>
        <w:tc>
          <w:tcPr>
            <w:tcW w:w="2124" w:type="pct"/>
            <w:vAlign w:val="center"/>
          </w:tcPr>
          <w:p w14:paraId="37C0139C">
            <w:pPr>
              <w:pStyle w:val="24"/>
              <w:widowControl w:val="0"/>
              <w:tabs>
                <w:tab w:val="clear" w:pos="1680"/>
              </w:tabs>
              <w:adjustRightInd w:val="0"/>
              <w:snapToGrid w:val="0"/>
              <w:spacing w:before="12" w:beforeLines="4" w:after="12" w:afterLines="4"/>
              <w:ind w:left="0" w:firstLine="0"/>
              <w:jc w:val="center"/>
              <w:outlineLvl w:val="9"/>
              <w:rPr>
                <w:rFonts w:ascii="Times New Roman" w:hAnsi="Times New Roman" w:eastAsia="宋体"/>
                <w:color w:val="0D0D0D"/>
                <w:kern w:val="2"/>
                <w:szCs w:val="21"/>
              </w:rPr>
            </w:pPr>
            <w:r>
              <w:rPr>
                <w:rFonts w:ascii="Times New Roman" w:hAnsi="Times New Roman" w:eastAsia="宋体"/>
                <w:color w:val="0D0D0D"/>
                <w:kern w:val="2"/>
                <w:szCs w:val="21"/>
              </w:rPr>
              <w:t>卧兜的最小内部高度</w:t>
            </w:r>
          </w:p>
        </w:tc>
        <w:tc>
          <w:tcPr>
            <w:tcW w:w="2232" w:type="pct"/>
            <w:vAlign w:val="center"/>
          </w:tcPr>
          <w:p w14:paraId="5EBD13CC">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40005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1578E1BE">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13</w:t>
            </w:r>
          </w:p>
        </w:tc>
        <w:tc>
          <w:tcPr>
            <w:tcW w:w="2124" w:type="pct"/>
            <w:vAlign w:val="center"/>
          </w:tcPr>
          <w:p w14:paraId="5978E60D">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座兜的座垫与靠背的角度和靠背的高度</w:t>
            </w:r>
          </w:p>
        </w:tc>
        <w:tc>
          <w:tcPr>
            <w:tcW w:w="2232" w:type="pct"/>
            <w:vAlign w:val="center"/>
          </w:tcPr>
          <w:p w14:paraId="0E1E6B20">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581F4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68BF61C5">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14</w:t>
            </w:r>
          </w:p>
        </w:tc>
        <w:tc>
          <w:tcPr>
            <w:tcW w:w="2124" w:type="pct"/>
            <w:vAlign w:val="center"/>
          </w:tcPr>
          <w:p w14:paraId="1116BD3A">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推车的适用年龄</w:t>
            </w:r>
          </w:p>
        </w:tc>
        <w:tc>
          <w:tcPr>
            <w:tcW w:w="2232" w:type="pct"/>
            <w:vAlign w:val="center"/>
          </w:tcPr>
          <w:p w14:paraId="30661ACF">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6DA59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4418C271">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15</w:t>
            </w:r>
          </w:p>
        </w:tc>
        <w:tc>
          <w:tcPr>
            <w:tcW w:w="2124" w:type="pct"/>
            <w:vAlign w:val="center"/>
          </w:tcPr>
          <w:p w14:paraId="04E8533A">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卧兜和座兜连接在车架上的装置</w:t>
            </w:r>
          </w:p>
        </w:tc>
        <w:tc>
          <w:tcPr>
            <w:tcW w:w="2232" w:type="pct"/>
            <w:vAlign w:val="center"/>
          </w:tcPr>
          <w:p w14:paraId="5FCD9A4E">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79874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03E0F643">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16</w:t>
            </w:r>
          </w:p>
        </w:tc>
        <w:tc>
          <w:tcPr>
            <w:tcW w:w="2124" w:type="pct"/>
            <w:vAlign w:val="center"/>
          </w:tcPr>
          <w:p w14:paraId="68540D6D">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稳定性</w:t>
            </w:r>
          </w:p>
        </w:tc>
        <w:tc>
          <w:tcPr>
            <w:tcW w:w="2232" w:type="pct"/>
            <w:vAlign w:val="center"/>
          </w:tcPr>
          <w:p w14:paraId="7B940B6D">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543B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5593E7D3">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17</w:t>
            </w:r>
          </w:p>
        </w:tc>
        <w:tc>
          <w:tcPr>
            <w:tcW w:w="2124" w:type="pct"/>
            <w:vAlign w:val="center"/>
          </w:tcPr>
          <w:p w14:paraId="2631746D">
            <w:pPr>
              <w:adjustRightInd w:val="0"/>
              <w:snapToGrid w:val="0"/>
              <w:spacing w:before="12" w:beforeLines="4" w:after="12" w:afterLines="4"/>
              <w:jc w:val="center"/>
              <w:rPr>
                <w:rFonts w:ascii="Times New Roman" w:hAnsi="Times New Roman"/>
                <w:color w:val="0D0D0D"/>
                <w:vertAlign w:val="superscript"/>
              </w:rPr>
            </w:pPr>
            <w:r>
              <w:rPr>
                <w:rFonts w:ascii="Times New Roman" w:hAnsi="Times New Roman"/>
                <w:color w:val="0D0D0D"/>
              </w:rPr>
              <w:t>手把强度</w:t>
            </w:r>
          </w:p>
        </w:tc>
        <w:tc>
          <w:tcPr>
            <w:tcW w:w="2232" w:type="pct"/>
            <w:vAlign w:val="center"/>
          </w:tcPr>
          <w:p w14:paraId="524C4D38">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4846A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7D176AE2">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18</w:t>
            </w:r>
          </w:p>
        </w:tc>
        <w:tc>
          <w:tcPr>
            <w:tcW w:w="2124" w:type="pct"/>
            <w:vAlign w:val="center"/>
          </w:tcPr>
          <w:p w14:paraId="066C5BF6">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制动装置</w:t>
            </w:r>
          </w:p>
        </w:tc>
        <w:tc>
          <w:tcPr>
            <w:tcW w:w="2232" w:type="pct"/>
            <w:vAlign w:val="center"/>
          </w:tcPr>
          <w:p w14:paraId="0610A996">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70E08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58CE4B41">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19</w:t>
            </w:r>
          </w:p>
        </w:tc>
        <w:tc>
          <w:tcPr>
            <w:tcW w:w="2124" w:type="pct"/>
            <w:vAlign w:val="center"/>
          </w:tcPr>
          <w:p w14:paraId="7D29D52D">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折叠锁定装置</w:t>
            </w:r>
          </w:p>
        </w:tc>
        <w:tc>
          <w:tcPr>
            <w:tcW w:w="2232" w:type="pct"/>
            <w:vAlign w:val="center"/>
          </w:tcPr>
          <w:p w14:paraId="48E41403">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17AE2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71169849">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20</w:t>
            </w:r>
          </w:p>
        </w:tc>
        <w:tc>
          <w:tcPr>
            <w:tcW w:w="2124" w:type="pct"/>
            <w:vAlign w:val="center"/>
          </w:tcPr>
          <w:p w14:paraId="0ADD2C06">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可拆卸卧兜或座兜的连接装置的强度和耐用性</w:t>
            </w:r>
          </w:p>
        </w:tc>
        <w:tc>
          <w:tcPr>
            <w:tcW w:w="2232" w:type="pct"/>
            <w:vAlign w:val="center"/>
          </w:tcPr>
          <w:p w14:paraId="61EE8D43">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70969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102EC207">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21</w:t>
            </w:r>
          </w:p>
        </w:tc>
        <w:tc>
          <w:tcPr>
            <w:tcW w:w="2124" w:type="pct"/>
            <w:vAlign w:val="center"/>
          </w:tcPr>
          <w:p w14:paraId="6CD6512B">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束缚系统的强度</w:t>
            </w:r>
          </w:p>
        </w:tc>
        <w:tc>
          <w:tcPr>
            <w:tcW w:w="2232" w:type="pct"/>
            <w:vAlign w:val="center"/>
          </w:tcPr>
          <w:p w14:paraId="74F4DB86">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04BB4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5CEEF44C">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22</w:t>
            </w:r>
          </w:p>
        </w:tc>
        <w:tc>
          <w:tcPr>
            <w:tcW w:w="2124" w:type="pct"/>
            <w:vAlign w:val="center"/>
          </w:tcPr>
          <w:p w14:paraId="561EEEA2">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安全带扣的强度</w:t>
            </w:r>
          </w:p>
        </w:tc>
        <w:tc>
          <w:tcPr>
            <w:tcW w:w="2232" w:type="pct"/>
            <w:vAlign w:val="center"/>
          </w:tcPr>
          <w:p w14:paraId="7BB5B3AF">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1253E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1F299E9C">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23</w:t>
            </w:r>
          </w:p>
        </w:tc>
        <w:tc>
          <w:tcPr>
            <w:tcW w:w="2124" w:type="pct"/>
            <w:vAlign w:val="center"/>
          </w:tcPr>
          <w:p w14:paraId="1AB69367">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车轮的强度</w:t>
            </w:r>
          </w:p>
        </w:tc>
        <w:tc>
          <w:tcPr>
            <w:tcW w:w="2232" w:type="pct"/>
            <w:vAlign w:val="center"/>
          </w:tcPr>
          <w:p w14:paraId="694189E4">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4EF2C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37F2E2AD">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24</w:t>
            </w:r>
          </w:p>
        </w:tc>
        <w:tc>
          <w:tcPr>
            <w:tcW w:w="2124" w:type="pct"/>
            <w:vAlign w:val="center"/>
          </w:tcPr>
          <w:p w14:paraId="7BEED512">
            <w:pPr>
              <w:adjustRightInd w:val="0"/>
              <w:snapToGrid w:val="0"/>
              <w:spacing w:before="12" w:beforeLines="4" w:after="12" w:afterLines="4"/>
              <w:jc w:val="center"/>
              <w:rPr>
                <w:rFonts w:ascii="Times New Roman" w:hAnsi="Times New Roman"/>
                <w:color w:val="0D0D0D"/>
                <w:vertAlign w:val="superscript"/>
              </w:rPr>
            </w:pPr>
            <w:r>
              <w:rPr>
                <w:rFonts w:ascii="Times New Roman" w:hAnsi="Times New Roman"/>
                <w:color w:val="0D0D0D"/>
              </w:rPr>
              <w:t>动态耐久性测试</w:t>
            </w:r>
          </w:p>
        </w:tc>
        <w:tc>
          <w:tcPr>
            <w:tcW w:w="2232" w:type="pct"/>
            <w:vAlign w:val="center"/>
          </w:tcPr>
          <w:p w14:paraId="147105A8">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59367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533F6F7B">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25</w:t>
            </w:r>
          </w:p>
        </w:tc>
        <w:tc>
          <w:tcPr>
            <w:tcW w:w="2124" w:type="pct"/>
            <w:vAlign w:val="center"/>
          </w:tcPr>
          <w:p w14:paraId="43A49215">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撞击强度</w:t>
            </w:r>
          </w:p>
        </w:tc>
        <w:tc>
          <w:tcPr>
            <w:tcW w:w="2232" w:type="pct"/>
            <w:vAlign w:val="center"/>
          </w:tcPr>
          <w:p w14:paraId="1B8505A6">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05AA8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19C77BAC">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26</w:t>
            </w:r>
          </w:p>
        </w:tc>
        <w:tc>
          <w:tcPr>
            <w:tcW w:w="2124" w:type="pct"/>
            <w:vAlign w:val="center"/>
          </w:tcPr>
          <w:p w14:paraId="14E0309B">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静态强度</w:t>
            </w:r>
          </w:p>
        </w:tc>
        <w:tc>
          <w:tcPr>
            <w:tcW w:w="2232" w:type="pct"/>
            <w:vAlign w:val="center"/>
          </w:tcPr>
          <w:p w14:paraId="77B569D8">
            <w:pPr>
              <w:pStyle w:val="23"/>
              <w:adjustRightInd w:val="0"/>
              <w:snapToGrid w:val="0"/>
              <w:jc w:val="center"/>
              <w:rPr>
                <w:rFonts w:ascii="Times New Roman" w:hAnsi="Times New Roman"/>
                <w:color w:val="0D0D0D"/>
              </w:rPr>
            </w:pPr>
            <w:r>
              <w:rPr>
                <w:rFonts w:ascii="Times New Roman" w:hAnsi="Times New Roman"/>
                <w:color w:val="0D0D0D"/>
              </w:rPr>
              <w:t>GB 14748—2006</w:t>
            </w:r>
          </w:p>
        </w:tc>
      </w:tr>
      <w:tr w14:paraId="21384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6DF2CB7A">
            <w:pPr>
              <w:adjustRightInd w:val="0"/>
              <w:snapToGrid w:val="0"/>
              <w:spacing w:before="12" w:beforeLines="4" w:after="12" w:afterLines="4"/>
              <w:jc w:val="center"/>
              <w:rPr>
                <w:rFonts w:ascii="Times New Roman" w:hAnsi="Times New Roman"/>
                <w:color w:val="0D0D0D"/>
              </w:rPr>
            </w:pPr>
            <w:r>
              <w:rPr>
                <w:rFonts w:hint="eastAsia" w:ascii="Times New Roman" w:hAnsi="Times New Roman"/>
                <w:color w:val="0D0D0D"/>
              </w:rPr>
              <w:t>27</w:t>
            </w:r>
          </w:p>
        </w:tc>
        <w:tc>
          <w:tcPr>
            <w:tcW w:w="2124" w:type="pct"/>
            <w:vAlign w:val="center"/>
          </w:tcPr>
          <w:p w14:paraId="167503B4">
            <w:pPr>
              <w:adjustRightInd w:val="0"/>
              <w:snapToGrid w:val="0"/>
              <w:spacing w:before="12" w:beforeLines="4" w:after="12" w:afterLines="4"/>
              <w:jc w:val="center"/>
              <w:rPr>
                <w:rFonts w:hint="eastAsia" w:ascii="Times New Roman" w:hAnsi="Times New Roman"/>
                <w:color w:val="0D0D0D"/>
              </w:rPr>
            </w:pPr>
            <w:r>
              <w:rPr>
                <w:rFonts w:hint="eastAsia" w:ascii="Times New Roman" w:hAnsi="Times New Roman"/>
                <w:color w:val="0D0D0D"/>
              </w:rPr>
              <w:t>产品标志和使用说明</w:t>
            </w:r>
          </w:p>
        </w:tc>
        <w:tc>
          <w:tcPr>
            <w:tcW w:w="2232" w:type="pct"/>
            <w:vAlign w:val="center"/>
          </w:tcPr>
          <w:p w14:paraId="221BD7F3">
            <w:pPr>
              <w:pStyle w:val="23"/>
              <w:adjustRightInd w:val="0"/>
              <w:snapToGrid w:val="0"/>
              <w:jc w:val="center"/>
              <w:rPr>
                <w:rFonts w:ascii="Times New Roman" w:hAnsi="Times New Roman"/>
                <w:color w:val="0D0D0D"/>
              </w:rPr>
            </w:pPr>
            <w:r>
              <w:rPr>
                <w:rFonts w:ascii="Times New Roman" w:hAnsi="Times New Roman"/>
                <w:color w:val="0D0D0D"/>
              </w:rPr>
              <w:t>GB 14748—2006</w:t>
            </w:r>
          </w:p>
        </w:tc>
      </w:tr>
    </w:tbl>
    <w:p w14:paraId="79B82D29">
      <w:pPr>
        <w:pStyle w:val="7"/>
        <w:widowControl w:val="0"/>
        <w:adjustRightInd w:val="0"/>
        <w:snapToGrid w:val="0"/>
        <w:spacing w:before="0" w:beforeAutospacing="0" w:after="0" w:afterAutospacing="0" w:line="440" w:lineRule="exact"/>
        <w:contextualSpacing/>
        <w:jc w:val="center"/>
        <w:rPr>
          <w:rFonts w:ascii="Times New Roman" w:hAnsi="Times New Roman" w:cs="Times New Roman"/>
          <w:kern w:val="2"/>
          <w:sz w:val="21"/>
          <w:szCs w:val="21"/>
          <w:highlight w:val="none"/>
        </w:rPr>
      </w:pPr>
      <w:r>
        <w:rPr>
          <w:rFonts w:ascii="Times New Roman" w:hAnsi="Times New Roman" w:cs="Times New Roman"/>
          <w:kern w:val="2"/>
          <w:sz w:val="21"/>
          <w:szCs w:val="21"/>
          <w:highlight w:val="none"/>
        </w:rPr>
        <w:t>表</w:t>
      </w:r>
      <w:r>
        <w:rPr>
          <w:rFonts w:hint="eastAsia" w:ascii="Times New Roman" w:hAnsi="Times New Roman" w:cs="Times New Roman"/>
          <w:kern w:val="2"/>
          <w:sz w:val="21"/>
          <w:szCs w:val="21"/>
          <w:highlight w:val="none"/>
          <w:lang w:val="en-US" w:eastAsia="zh-CN"/>
        </w:rPr>
        <w:t>3</w:t>
      </w:r>
      <w:r>
        <w:rPr>
          <w:rFonts w:ascii="Times New Roman" w:hAnsi="Times New Roman" w:cs="Times New Roman"/>
          <w:kern w:val="2"/>
          <w:sz w:val="21"/>
          <w:szCs w:val="21"/>
          <w:highlight w:val="none"/>
        </w:rPr>
        <w:t xml:space="preserve"> </w:t>
      </w:r>
      <w:r>
        <w:rPr>
          <w:rFonts w:ascii="Times New Roman" w:hAnsi="Times New Roman" w:cs="Times New Roman"/>
          <w:color w:val="000000"/>
          <w:kern w:val="2"/>
          <w:sz w:val="21"/>
          <w:szCs w:val="21"/>
          <w:highlight w:val="none"/>
        </w:rPr>
        <w:t>婴儿学步车</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117"/>
        <w:gridCol w:w="3820"/>
        <w:gridCol w:w="3737"/>
      </w:tblGrid>
      <w:tr w14:paraId="69640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644" w:type="pct"/>
            <w:vAlign w:val="center"/>
          </w:tcPr>
          <w:p w14:paraId="29A9690B">
            <w:pPr>
              <w:pStyle w:val="3"/>
              <w:adjustRightInd w:val="0"/>
              <w:snapToGrid w:val="0"/>
              <w:jc w:val="center"/>
              <w:rPr>
                <w:rFonts w:ascii="Times New Roman" w:hAnsi="Times New Roman"/>
                <w:color w:val="0D0D0D"/>
                <w:kern w:val="2"/>
                <w:sz w:val="21"/>
                <w:szCs w:val="21"/>
              </w:rPr>
            </w:pPr>
            <w:r>
              <w:rPr>
                <w:rFonts w:ascii="Times New Roman" w:hAnsi="Times New Roman"/>
                <w:color w:val="0D0D0D"/>
                <w:kern w:val="2"/>
                <w:sz w:val="21"/>
                <w:szCs w:val="21"/>
              </w:rPr>
              <w:t>序号</w:t>
            </w:r>
          </w:p>
        </w:tc>
        <w:tc>
          <w:tcPr>
            <w:tcW w:w="2202" w:type="pct"/>
            <w:vAlign w:val="center"/>
          </w:tcPr>
          <w:p w14:paraId="632F9B3E">
            <w:pPr>
              <w:pStyle w:val="3"/>
              <w:adjustRightInd w:val="0"/>
              <w:snapToGrid w:val="0"/>
              <w:jc w:val="center"/>
              <w:rPr>
                <w:rFonts w:ascii="Times New Roman" w:hAnsi="Times New Roman"/>
                <w:color w:val="0D0D0D"/>
                <w:kern w:val="2"/>
                <w:sz w:val="21"/>
                <w:szCs w:val="21"/>
              </w:rPr>
            </w:pPr>
            <w:r>
              <w:rPr>
                <w:rFonts w:ascii="Times New Roman" w:hAnsi="Times New Roman"/>
                <w:color w:val="0D0D0D"/>
                <w:kern w:val="2"/>
                <w:sz w:val="21"/>
                <w:szCs w:val="21"/>
              </w:rPr>
              <w:t>检验项目</w:t>
            </w:r>
          </w:p>
        </w:tc>
        <w:tc>
          <w:tcPr>
            <w:tcW w:w="2154" w:type="pct"/>
            <w:vAlign w:val="center"/>
          </w:tcPr>
          <w:p w14:paraId="346387F8">
            <w:pPr>
              <w:adjustRightInd w:val="0"/>
              <w:snapToGrid w:val="0"/>
              <w:jc w:val="center"/>
              <w:rPr>
                <w:rFonts w:ascii="Times New Roman" w:hAnsi="Times New Roman"/>
                <w:color w:val="0D0D0D"/>
                <w:szCs w:val="21"/>
              </w:rPr>
            </w:pPr>
            <w:r>
              <w:rPr>
                <w:rFonts w:ascii="Times New Roman" w:hAnsi="Times New Roman"/>
                <w:color w:val="0D0D0D"/>
                <w:szCs w:val="21"/>
              </w:rPr>
              <w:t>检验方法</w:t>
            </w:r>
          </w:p>
        </w:tc>
      </w:tr>
      <w:tr w14:paraId="3235E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3D1C89D4">
            <w:pPr>
              <w:adjustRightInd w:val="0"/>
              <w:snapToGrid w:val="0"/>
              <w:jc w:val="center"/>
              <w:rPr>
                <w:rFonts w:ascii="Times New Roman" w:hAnsi="Times New Roman"/>
                <w:color w:val="0D0D0D"/>
              </w:rPr>
            </w:pPr>
            <w:r>
              <w:rPr>
                <w:rFonts w:ascii="Times New Roman" w:hAnsi="Times New Roman"/>
                <w:color w:val="0D0D0D"/>
              </w:rPr>
              <w:t>1</w:t>
            </w:r>
          </w:p>
        </w:tc>
        <w:tc>
          <w:tcPr>
            <w:tcW w:w="2202" w:type="pct"/>
            <w:vAlign w:val="center"/>
          </w:tcPr>
          <w:p w14:paraId="0AE04C2E">
            <w:pPr>
              <w:pStyle w:val="23"/>
              <w:adjustRightInd w:val="0"/>
              <w:snapToGrid w:val="0"/>
              <w:jc w:val="center"/>
              <w:rPr>
                <w:rFonts w:ascii="Times New Roman" w:hAnsi="Times New Roman"/>
                <w:color w:val="0D0D0D"/>
              </w:rPr>
            </w:pPr>
            <w:r>
              <w:rPr>
                <w:rFonts w:ascii="Times New Roman" w:hAnsi="Times New Roman"/>
                <w:color w:val="0D0D0D"/>
              </w:rPr>
              <w:t>材料质量</w:t>
            </w:r>
          </w:p>
        </w:tc>
        <w:tc>
          <w:tcPr>
            <w:tcW w:w="2154" w:type="pct"/>
            <w:vAlign w:val="center"/>
          </w:tcPr>
          <w:p w14:paraId="59D74319">
            <w:pPr>
              <w:pStyle w:val="23"/>
              <w:adjustRightInd w:val="0"/>
              <w:snapToGrid w:val="0"/>
              <w:jc w:val="center"/>
              <w:rPr>
                <w:rFonts w:ascii="Times New Roman" w:hAnsi="Times New Roman"/>
                <w:color w:val="0D0D0D"/>
              </w:rPr>
            </w:pPr>
            <w:r>
              <w:rPr>
                <w:rFonts w:ascii="Times New Roman" w:hAnsi="Times New Roman"/>
                <w:color w:val="0D0D0D"/>
              </w:rPr>
              <w:t>GB 14749—2006</w:t>
            </w:r>
          </w:p>
        </w:tc>
      </w:tr>
      <w:tr w14:paraId="564F7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59E046CD">
            <w:pPr>
              <w:adjustRightInd w:val="0"/>
              <w:snapToGrid w:val="0"/>
              <w:jc w:val="center"/>
              <w:rPr>
                <w:rFonts w:ascii="Times New Roman" w:hAnsi="Times New Roman"/>
                <w:color w:val="0D0D0D"/>
              </w:rPr>
            </w:pPr>
            <w:r>
              <w:rPr>
                <w:rFonts w:ascii="Times New Roman" w:hAnsi="Times New Roman"/>
                <w:color w:val="0D0D0D"/>
              </w:rPr>
              <w:t>2</w:t>
            </w:r>
          </w:p>
        </w:tc>
        <w:tc>
          <w:tcPr>
            <w:tcW w:w="2202" w:type="pct"/>
            <w:vAlign w:val="center"/>
          </w:tcPr>
          <w:p w14:paraId="0C0918E4">
            <w:pPr>
              <w:pStyle w:val="22"/>
              <w:widowControl w:val="0"/>
              <w:adjustRightInd w:val="0"/>
              <w:snapToGrid w:val="0"/>
              <w:ind w:firstLine="0"/>
              <w:jc w:val="center"/>
              <w:rPr>
                <w:rFonts w:ascii="Times New Roman" w:hAnsi="Times New Roman"/>
                <w:color w:val="0D0D0D"/>
                <w:kern w:val="2"/>
                <w:sz w:val="21"/>
                <w:szCs w:val="21"/>
              </w:rPr>
            </w:pPr>
            <w:r>
              <w:rPr>
                <w:rFonts w:ascii="Times New Roman" w:hAnsi="Times New Roman"/>
                <w:color w:val="0D0D0D"/>
                <w:kern w:val="2"/>
                <w:sz w:val="21"/>
                <w:szCs w:val="21"/>
              </w:rPr>
              <w:t>特定可迁移元素最大限量</w:t>
            </w:r>
          </w:p>
        </w:tc>
        <w:tc>
          <w:tcPr>
            <w:tcW w:w="2154" w:type="pct"/>
            <w:vAlign w:val="center"/>
          </w:tcPr>
          <w:p w14:paraId="540CA451">
            <w:pPr>
              <w:pStyle w:val="23"/>
              <w:adjustRightInd w:val="0"/>
              <w:snapToGrid w:val="0"/>
              <w:jc w:val="center"/>
              <w:rPr>
                <w:rFonts w:ascii="Times New Roman" w:hAnsi="Times New Roman"/>
                <w:color w:val="0D0D0D"/>
              </w:rPr>
            </w:pPr>
            <w:r>
              <w:rPr>
                <w:rFonts w:ascii="Times New Roman" w:hAnsi="Times New Roman"/>
                <w:color w:val="0D0D0D"/>
              </w:rPr>
              <w:t>GB 6675—2003 附录C</w:t>
            </w:r>
          </w:p>
          <w:p w14:paraId="040887D4">
            <w:pPr>
              <w:pStyle w:val="23"/>
              <w:adjustRightInd w:val="0"/>
              <w:snapToGrid w:val="0"/>
              <w:jc w:val="center"/>
              <w:rPr>
                <w:rFonts w:ascii="Times New Roman" w:hAnsi="Times New Roman"/>
                <w:color w:val="0D0D0D"/>
              </w:rPr>
            </w:pPr>
            <w:r>
              <w:rPr>
                <w:rFonts w:ascii="Times New Roman" w:hAnsi="Times New Roman"/>
                <w:bCs/>
              </w:rPr>
              <w:t>GB/T 26193—2010</w:t>
            </w:r>
            <w:r>
              <w:rPr>
                <w:rFonts w:hint="eastAsia" w:ascii="Times New Roman" w:hAnsi="Times New Roman"/>
                <w:bCs/>
              </w:rPr>
              <w:t>或</w:t>
            </w:r>
            <w:r>
              <w:rPr>
                <w:rFonts w:ascii="Times New Roman" w:hAnsi="Times New Roman"/>
                <w:bCs/>
              </w:rPr>
              <w:t>GB/T 30419</w:t>
            </w:r>
            <w:r>
              <w:rPr>
                <w:rFonts w:hint="eastAsia" w:ascii="Times New Roman" w:hAnsi="Times New Roman"/>
                <w:bCs/>
              </w:rPr>
              <w:t>—</w:t>
            </w:r>
            <w:r>
              <w:rPr>
                <w:rFonts w:ascii="Times New Roman" w:hAnsi="Times New Roman"/>
                <w:bCs/>
              </w:rPr>
              <w:t>2013</w:t>
            </w:r>
            <w:r>
              <w:rPr>
                <w:rFonts w:hint="eastAsia" w:ascii="Times New Roman" w:hAnsi="Times New Roman"/>
                <w:bCs/>
              </w:rPr>
              <w:t>或“</w:t>
            </w:r>
            <w:r>
              <w:rPr>
                <w:rFonts w:ascii="Times New Roman" w:hAnsi="Times New Roman"/>
                <w:bCs/>
              </w:rPr>
              <w:t>GB/T 32602</w:t>
            </w:r>
            <w:r>
              <w:rPr>
                <w:rFonts w:hint="eastAsia" w:ascii="Times New Roman" w:hAnsi="Times New Roman"/>
                <w:bCs/>
              </w:rPr>
              <w:t>—</w:t>
            </w:r>
            <w:r>
              <w:rPr>
                <w:rFonts w:ascii="Times New Roman" w:hAnsi="Times New Roman"/>
                <w:bCs/>
              </w:rPr>
              <w:t>2016</w:t>
            </w:r>
            <w:r>
              <w:rPr>
                <w:rFonts w:hint="eastAsia" w:ascii="Times New Roman" w:hAnsi="Times New Roman"/>
                <w:bCs/>
              </w:rPr>
              <w:t>和</w:t>
            </w:r>
            <w:r>
              <w:rPr>
                <w:rFonts w:ascii="Times New Roman" w:hAnsi="Times New Roman"/>
                <w:bCs/>
              </w:rPr>
              <w:t>GB/T 32603</w:t>
            </w:r>
            <w:r>
              <w:rPr>
                <w:rFonts w:hint="eastAsia" w:ascii="Times New Roman" w:hAnsi="Times New Roman"/>
                <w:bCs/>
              </w:rPr>
              <w:t>—</w:t>
            </w:r>
            <w:r>
              <w:rPr>
                <w:rFonts w:ascii="Times New Roman" w:hAnsi="Times New Roman"/>
                <w:bCs/>
              </w:rPr>
              <w:t>2016</w:t>
            </w:r>
            <w:r>
              <w:rPr>
                <w:rFonts w:hint="eastAsia" w:ascii="Times New Roman" w:hAnsi="Times New Roman"/>
                <w:bCs/>
              </w:rPr>
              <w:t>”</w:t>
            </w:r>
          </w:p>
        </w:tc>
      </w:tr>
      <w:tr w14:paraId="41DB7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42E1B10B">
            <w:pPr>
              <w:adjustRightInd w:val="0"/>
              <w:snapToGrid w:val="0"/>
              <w:jc w:val="center"/>
              <w:rPr>
                <w:rFonts w:ascii="Times New Roman" w:hAnsi="Times New Roman"/>
                <w:color w:val="0D0D0D"/>
              </w:rPr>
            </w:pPr>
            <w:r>
              <w:rPr>
                <w:rFonts w:ascii="Times New Roman" w:hAnsi="Times New Roman"/>
                <w:color w:val="0D0D0D"/>
              </w:rPr>
              <w:t>3</w:t>
            </w:r>
          </w:p>
        </w:tc>
        <w:tc>
          <w:tcPr>
            <w:tcW w:w="2202" w:type="pct"/>
            <w:vAlign w:val="center"/>
          </w:tcPr>
          <w:p w14:paraId="6751B861">
            <w:pPr>
              <w:adjustRightInd w:val="0"/>
              <w:snapToGrid w:val="0"/>
              <w:jc w:val="center"/>
              <w:rPr>
                <w:rFonts w:ascii="Times New Roman" w:hAnsi="Times New Roman"/>
                <w:color w:val="0D0D0D"/>
              </w:rPr>
            </w:pPr>
            <w:r>
              <w:rPr>
                <w:rFonts w:ascii="Times New Roman" w:hAnsi="Times New Roman"/>
                <w:color w:val="0D0D0D"/>
              </w:rPr>
              <w:t>金属表面</w:t>
            </w:r>
          </w:p>
        </w:tc>
        <w:tc>
          <w:tcPr>
            <w:tcW w:w="2154" w:type="pct"/>
            <w:vAlign w:val="center"/>
          </w:tcPr>
          <w:p w14:paraId="451B42B8">
            <w:pPr>
              <w:pStyle w:val="23"/>
              <w:adjustRightInd w:val="0"/>
              <w:snapToGrid w:val="0"/>
              <w:jc w:val="center"/>
              <w:rPr>
                <w:rFonts w:ascii="Times New Roman" w:hAnsi="Times New Roman"/>
                <w:color w:val="0D0D0D"/>
              </w:rPr>
            </w:pPr>
            <w:r>
              <w:rPr>
                <w:rFonts w:ascii="Times New Roman" w:hAnsi="Times New Roman"/>
                <w:color w:val="0D0D0D"/>
              </w:rPr>
              <w:t>GB 14749—2006</w:t>
            </w:r>
          </w:p>
        </w:tc>
      </w:tr>
      <w:tr w14:paraId="6B4AF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1ACDE46D">
            <w:pPr>
              <w:adjustRightInd w:val="0"/>
              <w:snapToGrid w:val="0"/>
              <w:jc w:val="center"/>
              <w:rPr>
                <w:rFonts w:ascii="Times New Roman" w:hAnsi="Times New Roman"/>
                <w:color w:val="0D0D0D"/>
              </w:rPr>
            </w:pPr>
            <w:r>
              <w:rPr>
                <w:rFonts w:ascii="Times New Roman" w:hAnsi="Times New Roman"/>
                <w:color w:val="0D0D0D"/>
              </w:rPr>
              <w:t>4</w:t>
            </w:r>
          </w:p>
        </w:tc>
        <w:tc>
          <w:tcPr>
            <w:tcW w:w="2202" w:type="pct"/>
            <w:vAlign w:val="center"/>
          </w:tcPr>
          <w:p w14:paraId="67C0F7AC">
            <w:pPr>
              <w:adjustRightInd w:val="0"/>
              <w:snapToGrid w:val="0"/>
              <w:jc w:val="center"/>
              <w:rPr>
                <w:rFonts w:ascii="Times New Roman" w:hAnsi="Times New Roman"/>
                <w:color w:val="0D0D0D"/>
              </w:rPr>
            </w:pPr>
            <w:r>
              <w:rPr>
                <w:rFonts w:ascii="Times New Roman" w:hAnsi="Times New Roman"/>
                <w:color w:val="0D0D0D"/>
              </w:rPr>
              <w:t>木制部件</w:t>
            </w:r>
          </w:p>
        </w:tc>
        <w:tc>
          <w:tcPr>
            <w:tcW w:w="2154" w:type="pct"/>
            <w:vAlign w:val="center"/>
          </w:tcPr>
          <w:p w14:paraId="70EA65A9">
            <w:pPr>
              <w:pStyle w:val="23"/>
              <w:adjustRightInd w:val="0"/>
              <w:snapToGrid w:val="0"/>
              <w:jc w:val="center"/>
              <w:rPr>
                <w:rFonts w:ascii="Times New Roman" w:hAnsi="Times New Roman"/>
                <w:color w:val="0D0D0D"/>
              </w:rPr>
            </w:pPr>
            <w:r>
              <w:rPr>
                <w:rFonts w:ascii="Times New Roman" w:hAnsi="Times New Roman"/>
                <w:color w:val="0D0D0D"/>
              </w:rPr>
              <w:t>GB 14749—2006</w:t>
            </w:r>
          </w:p>
        </w:tc>
      </w:tr>
      <w:tr w14:paraId="1C33E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37249CF4">
            <w:pPr>
              <w:adjustRightInd w:val="0"/>
              <w:snapToGrid w:val="0"/>
              <w:jc w:val="center"/>
              <w:rPr>
                <w:rFonts w:ascii="Times New Roman" w:hAnsi="Times New Roman"/>
                <w:color w:val="0D0D0D"/>
              </w:rPr>
            </w:pPr>
            <w:r>
              <w:rPr>
                <w:rFonts w:ascii="Times New Roman" w:hAnsi="Times New Roman"/>
                <w:color w:val="0D0D0D"/>
              </w:rPr>
              <w:t>5</w:t>
            </w:r>
          </w:p>
        </w:tc>
        <w:tc>
          <w:tcPr>
            <w:tcW w:w="2202" w:type="pct"/>
            <w:vAlign w:val="center"/>
          </w:tcPr>
          <w:p w14:paraId="12A61848">
            <w:pPr>
              <w:adjustRightInd w:val="0"/>
              <w:snapToGrid w:val="0"/>
              <w:jc w:val="center"/>
              <w:rPr>
                <w:rFonts w:ascii="Times New Roman" w:hAnsi="Times New Roman"/>
                <w:color w:val="0D0D0D"/>
              </w:rPr>
            </w:pPr>
            <w:r>
              <w:rPr>
                <w:rFonts w:ascii="Times New Roman" w:hAnsi="Times New Roman"/>
                <w:color w:val="0D0D0D"/>
              </w:rPr>
              <w:t>危险夹缝及孔、开口</w:t>
            </w:r>
          </w:p>
        </w:tc>
        <w:tc>
          <w:tcPr>
            <w:tcW w:w="2154" w:type="pct"/>
            <w:vAlign w:val="center"/>
          </w:tcPr>
          <w:p w14:paraId="08FE3B41">
            <w:pPr>
              <w:pStyle w:val="23"/>
              <w:adjustRightInd w:val="0"/>
              <w:snapToGrid w:val="0"/>
              <w:jc w:val="center"/>
              <w:rPr>
                <w:rFonts w:ascii="Times New Roman" w:hAnsi="Times New Roman"/>
                <w:color w:val="0D0D0D"/>
              </w:rPr>
            </w:pPr>
            <w:r>
              <w:rPr>
                <w:rFonts w:ascii="Times New Roman" w:hAnsi="Times New Roman"/>
                <w:color w:val="0D0D0D"/>
              </w:rPr>
              <w:t>GB 14749—2006</w:t>
            </w:r>
          </w:p>
        </w:tc>
      </w:tr>
      <w:tr w14:paraId="2C282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0F8448DF">
            <w:pPr>
              <w:adjustRightInd w:val="0"/>
              <w:snapToGrid w:val="0"/>
              <w:jc w:val="center"/>
              <w:rPr>
                <w:rFonts w:ascii="Times New Roman" w:hAnsi="Times New Roman"/>
                <w:color w:val="0D0D0D"/>
              </w:rPr>
            </w:pPr>
            <w:r>
              <w:rPr>
                <w:rFonts w:ascii="Times New Roman" w:hAnsi="Times New Roman"/>
                <w:color w:val="0D0D0D"/>
              </w:rPr>
              <w:t>6</w:t>
            </w:r>
          </w:p>
        </w:tc>
        <w:tc>
          <w:tcPr>
            <w:tcW w:w="2202" w:type="pct"/>
            <w:vAlign w:val="center"/>
          </w:tcPr>
          <w:p w14:paraId="60EC56F8">
            <w:pPr>
              <w:adjustRightInd w:val="0"/>
              <w:snapToGrid w:val="0"/>
              <w:jc w:val="center"/>
              <w:rPr>
                <w:rFonts w:ascii="Times New Roman" w:hAnsi="Times New Roman"/>
                <w:color w:val="0D0D0D"/>
              </w:rPr>
            </w:pPr>
            <w:r>
              <w:rPr>
                <w:rFonts w:ascii="Times New Roman" w:hAnsi="Times New Roman"/>
                <w:color w:val="0D0D0D"/>
              </w:rPr>
              <w:t>弹簧</w:t>
            </w:r>
          </w:p>
        </w:tc>
        <w:tc>
          <w:tcPr>
            <w:tcW w:w="2154" w:type="pct"/>
            <w:vAlign w:val="center"/>
          </w:tcPr>
          <w:p w14:paraId="65D15EA1">
            <w:pPr>
              <w:pStyle w:val="23"/>
              <w:adjustRightInd w:val="0"/>
              <w:snapToGrid w:val="0"/>
              <w:jc w:val="center"/>
              <w:rPr>
                <w:rFonts w:ascii="Times New Roman" w:hAnsi="Times New Roman"/>
                <w:color w:val="0D0D0D"/>
              </w:rPr>
            </w:pPr>
            <w:r>
              <w:rPr>
                <w:rFonts w:ascii="Times New Roman" w:hAnsi="Times New Roman"/>
                <w:color w:val="0D0D0D"/>
              </w:rPr>
              <w:t>GB 14749—2006</w:t>
            </w:r>
          </w:p>
        </w:tc>
      </w:tr>
      <w:tr w14:paraId="1CF19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1C7830A7">
            <w:pPr>
              <w:adjustRightInd w:val="0"/>
              <w:snapToGrid w:val="0"/>
              <w:jc w:val="center"/>
              <w:rPr>
                <w:rFonts w:ascii="Times New Roman" w:hAnsi="Times New Roman"/>
                <w:color w:val="0D0D0D"/>
              </w:rPr>
            </w:pPr>
            <w:r>
              <w:rPr>
                <w:rFonts w:ascii="Times New Roman" w:hAnsi="Times New Roman"/>
                <w:color w:val="0D0D0D"/>
              </w:rPr>
              <w:t>7</w:t>
            </w:r>
          </w:p>
        </w:tc>
        <w:tc>
          <w:tcPr>
            <w:tcW w:w="2202" w:type="pct"/>
            <w:vAlign w:val="center"/>
          </w:tcPr>
          <w:p w14:paraId="49EF3AED">
            <w:pPr>
              <w:adjustRightInd w:val="0"/>
              <w:snapToGrid w:val="0"/>
              <w:jc w:val="center"/>
              <w:rPr>
                <w:rFonts w:ascii="Times New Roman" w:hAnsi="Times New Roman"/>
                <w:color w:val="0D0D0D"/>
              </w:rPr>
            </w:pPr>
            <w:r>
              <w:rPr>
                <w:rFonts w:ascii="Times New Roman" w:hAnsi="Times New Roman"/>
                <w:color w:val="0D0D0D"/>
              </w:rPr>
              <w:t>外露突出物</w:t>
            </w:r>
          </w:p>
        </w:tc>
        <w:tc>
          <w:tcPr>
            <w:tcW w:w="2154" w:type="pct"/>
            <w:vAlign w:val="center"/>
          </w:tcPr>
          <w:p w14:paraId="79B48224">
            <w:pPr>
              <w:pStyle w:val="23"/>
              <w:adjustRightInd w:val="0"/>
              <w:snapToGrid w:val="0"/>
              <w:jc w:val="center"/>
              <w:rPr>
                <w:rFonts w:ascii="Times New Roman" w:hAnsi="Times New Roman"/>
                <w:color w:val="0D0D0D"/>
              </w:rPr>
            </w:pPr>
            <w:r>
              <w:rPr>
                <w:rFonts w:ascii="Times New Roman" w:hAnsi="Times New Roman"/>
                <w:color w:val="0D0D0D"/>
              </w:rPr>
              <w:t>GB 14749—2006</w:t>
            </w:r>
          </w:p>
        </w:tc>
      </w:tr>
      <w:tr w14:paraId="4D19A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7C0B23D0">
            <w:pPr>
              <w:adjustRightInd w:val="0"/>
              <w:snapToGrid w:val="0"/>
              <w:jc w:val="center"/>
              <w:rPr>
                <w:rFonts w:ascii="Times New Roman" w:hAnsi="Times New Roman"/>
                <w:color w:val="0D0D0D"/>
              </w:rPr>
            </w:pPr>
            <w:r>
              <w:rPr>
                <w:rFonts w:ascii="Times New Roman" w:hAnsi="Times New Roman"/>
                <w:color w:val="0D0D0D"/>
              </w:rPr>
              <w:t>8</w:t>
            </w:r>
          </w:p>
        </w:tc>
        <w:tc>
          <w:tcPr>
            <w:tcW w:w="2202" w:type="pct"/>
            <w:vAlign w:val="center"/>
          </w:tcPr>
          <w:p w14:paraId="5269EC6E">
            <w:pPr>
              <w:adjustRightInd w:val="0"/>
              <w:snapToGrid w:val="0"/>
              <w:jc w:val="center"/>
              <w:rPr>
                <w:rFonts w:ascii="Times New Roman" w:hAnsi="Times New Roman"/>
                <w:color w:val="0D0D0D"/>
              </w:rPr>
            </w:pPr>
            <w:r>
              <w:rPr>
                <w:rFonts w:ascii="Times New Roman" w:hAnsi="Times New Roman"/>
                <w:color w:val="0D0D0D"/>
              </w:rPr>
              <w:t>可触及部件</w:t>
            </w:r>
          </w:p>
        </w:tc>
        <w:tc>
          <w:tcPr>
            <w:tcW w:w="2154" w:type="pct"/>
            <w:vAlign w:val="center"/>
          </w:tcPr>
          <w:p w14:paraId="44A01A31">
            <w:pPr>
              <w:pStyle w:val="23"/>
              <w:adjustRightInd w:val="0"/>
              <w:snapToGrid w:val="0"/>
              <w:jc w:val="center"/>
              <w:rPr>
                <w:rFonts w:ascii="Times New Roman" w:hAnsi="Times New Roman"/>
                <w:color w:val="0D0D0D"/>
              </w:rPr>
            </w:pPr>
            <w:r>
              <w:rPr>
                <w:rFonts w:ascii="Times New Roman" w:hAnsi="Times New Roman"/>
                <w:color w:val="0D0D0D"/>
              </w:rPr>
              <w:t>GB 14749—2006</w:t>
            </w:r>
          </w:p>
        </w:tc>
      </w:tr>
      <w:tr w14:paraId="45B24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6C683395">
            <w:pPr>
              <w:adjustRightInd w:val="0"/>
              <w:snapToGrid w:val="0"/>
              <w:jc w:val="center"/>
              <w:rPr>
                <w:rFonts w:ascii="Times New Roman" w:hAnsi="Times New Roman"/>
                <w:color w:val="0D0D0D"/>
              </w:rPr>
            </w:pPr>
            <w:r>
              <w:rPr>
                <w:rFonts w:ascii="Times New Roman" w:hAnsi="Times New Roman"/>
                <w:color w:val="0D0D0D"/>
              </w:rPr>
              <w:t>9</w:t>
            </w:r>
          </w:p>
        </w:tc>
        <w:tc>
          <w:tcPr>
            <w:tcW w:w="2202" w:type="pct"/>
            <w:vAlign w:val="center"/>
          </w:tcPr>
          <w:p w14:paraId="748FD350">
            <w:pPr>
              <w:adjustRightInd w:val="0"/>
              <w:snapToGrid w:val="0"/>
              <w:jc w:val="center"/>
              <w:rPr>
                <w:rFonts w:ascii="Times New Roman" w:hAnsi="Times New Roman"/>
                <w:color w:val="0D0D0D"/>
              </w:rPr>
            </w:pPr>
            <w:r>
              <w:rPr>
                <w:rFonts w:ascii="Times New Roman" w:hAnsi="Times New Roman"/>
                <w:color w:val="0D0D0D"/>
              </w:rPr>
              <w:t>绳索/弹性绳等绳状物</w:t>
            </w:r>
          </w:p>
        </w:tc>
        <w:tc>
          <w:tcPr>
            <w:tcW w:w="2154" w:type="pct"/>
            <w:vAlign w:val="center"/>
          </w:tcPr>
          <w:p w14:paraId="4CAA8B63">
            <w:pPr>
              <w:pStyle w:val="23"/>
              <w:adjustRightInd w:val="0"/>
              <w:snapToGrid w:val="0"/>
              <w:jc w:val="center"/>
              <w:rPr>
                <w:rFonts w:ascii="Times New Roman" w:hAnsi="Times New Roman"/>
                <w:color w:val="0D0D0D"/>
              </w:rPr>
            </w:pPr>
            <w:r>
              <w:rPr>
                <w:rFonts w:ascii="Times New Roman" w:hAnsi="Times New Roman"/>
                <w:color w:val="0D0D0D"/>
              </w:rPr>
              <w:t>GB 14749—2006</w:t>
            </w:r>
          </w:p>
        </w:tc>
      </w:tr>
      <w:tr w14:paraId="34320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6283466F">
            <w:pPr>
              <w:adjustRightInd w:val="0"/>
              <w:snapToGrid w:val="0"/>
              <w:jc w:val="center"/>
              <w:rPr>
                <w:rFonts w:ascii="Times New Roman" w:hAnsi="Times New Roman"/>
                <w:color w:val="0D0D0D"/>
              </w:rPr>
            </w:pPr>
            <w:r>
              <w:rPr>
                <w:rFonts w:ascii="Times New Roman" w:hAnsi="Times New Roman"/>
                <w:color w:val="0D0D0D"/>
              </w:rPr>
              <w:t>10</w:t>
            </w:r>
          </w:p>
        </w:tc>
        <w:tc>
          <w:tcPr>
            <w:tcW w:w="2202" w:type="pct"/>
            <w:vAlign w:val="center"/>
          </w:tcPr>
          <w:p w14:paraId="6131F780">
            <w:pPr>
              <w:adjustRightInd w:val="0"/>
              <w:snapToGrid w:val="0"/>
              <w:jc w:val="center"/>
              <w:rPr>
                <w:rFonts w:ascii="Times New Roman" w:hAnsi="Times New Roman"/>
                <w:color w:val="0D0D0D"/>
              </w:rPr>
            </w:pPr>
            <w:r>
              <w:rPr>
                <w:rFonts w:ascii="Times New Roman" w:hAnsi="Times New Roman"/>
                <w:color w:val="0D0D0D"/>
              </w:rPr>
              <w:t>锁定、折叠和框架调节装置</w:t>
            </w:r>
          </w:p>
        </w:tc>
        <w:tc>
          <w:tcPr>
            <w:tcW w:w="2154" w:type="pct"/>
            <w:vAlign w:val="center"/>
          </w:tcPr>
          <w:p w14:paraId="54F0C7E9">
            <w:pPr>
              <w:pStyle w:val="23"/>
              <w:adjustRightInd w:val="0"/>
              <w:snapToGrid w:val="0"/>
              <w:jc w:val="center"/>
              <w:rPr>
                <w:rFonts w:ascii="Times New Roman" w:hAnsi="Times New Roman"/>
                <w:color w:val="0D0D0D"/>
              </w:rPr>
            </w:pPr>
            <w:r>
              <w:rPr>
                <w:rFonts w:ascii="Times New Roman" w:hAnsi="Times New Roman"/>
                <w:color w:val="0D0D0D"/>
              </w:rPr>
              <w:t>GB 14749—2006</w:t>
            </w:r>
          </w:p>
        </w:tc>
      </w:tr>
      <w:tr w14:paraId="6C378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7EC56282">
            <w:pPr>
              <w:adjustRightInd w:val="0"/>
              <w:snapToGrid w:val="0"/>
              <w:jc w:val="center"/>
              <w:rPr>
                <w:rFonts w:ascii="Times New Roman" w:hAnsi="Times New Roman"/>
                <w:color w:val="0D0D0D"/>
              </w:rPr>
            </w:pPr>
            <w:r>
              <w:rPr>
                <w:rFonts w:ascii="Times New Roman" w:hAnsi="Times New Roman"/>
                <w:color w:val="0D0D0D"/>
              </w:rPr>
              <w:t>11</w:t>
            </w:r>
          </w:p>
        </w:tc>
        <w:tc>
          <w:tcPr>
            <w:tcW w:w="2202" w:type="pct"/>
            <w:vAlign w:val="center"/>
          </w:tcPr>
          <w:p w14:paraId="756120AA">
            <w:pPr>
              <w:adjustRightInd w:val="0"/>
              <w:snapToGrid w:val="0"/>
              <w:jc w:val="center"/>
              <w:rPr>
                <w:rFonts w:ascii="Times New Roman" w:hAnsi="Times New Roman"/>
                <w:color w:val="0D0D0D"/>
              </w:rPr>
            </w:pPr>
            <w:r>
              <w:rPr>
                <w:rFonts w:ascii="Times New Roman" w:hAnsi="Times New Roman"/>
                <w:color w:val="0D0D0D"/>
              </w:rPr>
              <w:t>挤夹、剪切</w:t>
            </w:r>
          </w:p>
        </w:tc>
        <w:tc>
          <w:tcPr>
            <w:tcW w:w="2154" w:type="pct"/>
            <w:vAlign w:val="center"/>
          </w:tcPr>
          <w:p w14:paraId="2A2F1B4F">
            <w:pPr>
              <w:pStyle w:val="23"/>
              <w:adjustRightInd w:val="0"/>
              <w:snapToGrid w:val="0"/>
              <w:jc w:val="center"/>
              <w:rPr>
                <w:rFonts w:ascii="Times New Roman" w:hAnsi="Times New Roman"/>
                <w:color w:val="0D0D0D"/>
              </w:rPr>
            </w:pPr>
            <w:r>
              <w:rPr>
                <w:rFonts w:ascii="Times New Roman" w:hAnsi="Times New Roman"/>
                <w:color w:val="0D0D0D"/>
              </w:rPr>
              <w:t>GB 14749—2006</w:t>
            </w:r>
          </w:p>
        </w:tc>
      </w:tr>
      <w:tr w14:paraId="3B0D3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287ADEED">
            <w:pPr>
              <w:adjustRightInd w:val="0"/>
              <w:snapToGrid w:val="0"/>
              <w:jc w:val="center"/>
              <w:rPr>
                <w:rFonts w:ascii="Times New Roman" w:hAnsi="Times New Roman"/>
                <w:color w:val="0D0D0D"/>
              </w:rPr>
            </w:pPr>
            <w:r>
              <w:rPr>
                <w:rFonts w:ascii="Times New Roman" w:hAnsi="Times New Roman"/>
                <w:color w:val="0D0D0D"/>
              </w:rPr>
              <w:t>12</w:t>
            </w:r>
          </w:p>
        </w:tc>
        <w:tc>
          <w:tcPr>
            <w:tcW w:w="2202" w:type="pct"/>
            <w:vAlign w:val="center"/>
          </w:tcPr>
          <w:p w14:paraId="0CC6FAF3">
            <w:pPr>
              <w:adjustRightInd w:val="0"/>
              <w:snapToGrid w:val="0"/>
              <w:jc w:val="center"/>
              <w:rPr>
                <w:rFonts w:ascii="Times New Roman" w:hAnsi="Times New Roman"/>
                <w:color w:val="0D0D0D"/>
              </w:rPr>
            </w:pPr>
            <w:r>
              <w:rPr>
                <w:rFonts w:ascii="Times New Roman" w:hAnsi="Times New Roman"/>
                <w:color w:val="0D0D0D"/>
              </w:rPr>
              <w:t>跨带宽度</w:t>
            </w:r>
          </w:p>
        </w:tc>
        <w:tc>
          <w:tcPr>
            <w:tcW w:w="2154" w:type="pct"/>
            <w:vAlign w:val="center"/>
          </w:tcPr>
          <w:p w14:paraId="4895EF61">
            <w:pPr>
              <w:pStyle w:val="23"/>
              <w:adjustRightInd w:val="0"/>
              <w:snapToGrid w:val="0"/>
              <w:jc w:val="center"/>
              <w:rPr>
                <w:rFonts w:ascii="Times New Roman" w:hAnsi="Times New Roman"/>
                <w:color w:val="0D0D0D"/>
              </w:rPr>
            </w:pPr>
            <w:r>
              <w:rPr>
                <w:rFonts w:ascii="Times New Roman" w:hAnsi="Times New Roman"/>
                <w:color w:val="0D0D0D"/>
              </w:rPr>
              <w:t>GB 14749—2006</w:t>
            </w:r>
          </w:p>
        </w:tc>
      </w:tr>
      <w:tr w14:paraId="386B5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042E36F6">
            <w:pPr>
              <w:adjustRightInd w:val="0"/>
              <w:snapToGrid w:val="0"/>
              <w:jc w:val="center"/>
              <w:rPr>
                <w:rFonts w:ascii="Times New Roman" w:hAnsi="Times New Roman"/>
                <w:color w:val="0D0D0D"/>
              </w:rPr>
            </w:pPr>
            <w:r>
              <w:rPr>
                <w:rFonts w:ascii="Times New Roman" w:hAnsi="Times New Roman"/>
                <w:color w:val="0D0D0D"/>
              </w:rPr>
              <w:t>13</w:t>
            </w:r>
          </w:p>
        </w:tc>
        <w:tc>
          <w:tcPr>
            <w:tcW w:w="2202" w:type="pct"/>
            <w:vAlign w:val="center"/>
          </w:tcPr>
          <w:p w14:paraId="7BFF215A">
            <w:pPr>
              <w:adjustRightInd w:val="0"/>
              <w:snapToGrid w:val="0"/>
              <w:jc w:val="center"/>
              <w:rPr>
                <w:rFonts w:ascii="Times New Roman" w:hAnsi="Times New Roman"/>
                <w:color w:val="0D0D0D"/>
              </w:rPr>
            </w:pPr>
            <w:r>
              <w:rPr>
                <w:rFonts w:ascii="Times New Roman" w:hAnsi="Times New Roman"/>
                <w:color w:val="0D0D0D"/>
              </w:rPr>
              <w:t>座位</w:t>
            </w:r>
          </w:p>
        </w:tc>
        <w:tc>
          <w:tcPr>
            <w:tcW w:w="2154" w:type="pct"/>
            <w:vAlign w:val="center"/>
          </w:tcPr>
          <w:p w14:paraId="05AF7D6C">
            <w:pPr>
              <w:pStyle w:val="23"/>
              <w:adjustRightInd w:val="0"/>
              <w:snapToGrid w:val="0"/>
              <w:jc w:val="center"/>
              <w:rPr>
                <w:rFonts w:ascii="Times New Roman" w:hAnsi="Times New Roman"/>
                <w:color w:val="0D0D0D"/>
              </w:rPr>
            </w:pPr>
            <w:r>
              <w:rPr>
                <w:rFonts w:ascii="Times New Roman" w:hAnsi="Times New Roman"/>
                <w:color w:val="0D0D0D"/>
              </w:rPr>
              <w:t>GB 14749—2006</w:t>
            </w:r>
          </w:p>
        </w:tc>
      </w:tr>
      <w:tr w14:paraId="16B0A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09274111">
            <w:pPr>
              <w:adjustRightInd w:val="0"/>
              <w:snapToGrid w:val="0"/>
              <w:jc w:val="center"/>
              <w:rPr>
                <w:rFonts w:ascii="Times New Roman" w:hAnsi="Times New Roman"/>
                <w:color w:val="0D0D0D"/>
              </w:rPr>
            </w:pPr>
            <w:r>
              <w:rPr>
                <w:rFonts w:ascii="Times New Roman" w:hAnsi="Times New Roman"/>
                <w:color w:val="0D0D0D"/>
              </w:rPr>
              <w:t>14</w:t>
            </w:r>
          </w:p>
        </w:tc>
        <w:tc>
          <w:tcPr>
            <w:tcW w:w="2202" w:type="pct"/>
            <w:vAlign w:val="center"/>
          </w:tcPr>
          <w:p w14:paraId="41F7DA67">
            <w:pPr>
              <w:adjustRightInd w:val="0"/>
              <w:snapToGrid w:val="0"/>
              <w:jc w:val="center"/>
              <w:rPr>
                <w:rFonts w:ascii="Times New Roman" w:hAnsi="Times New Roman"/>
                <w:color w:val="0D0D0D"/>
              </w:rPr>
            </w:pPr>
            <w:r>
              <w:rPr>
                <w:rFonts w:ascii="Times New Roman" w:hAnsi="Times New Roman"/>
                <w:color w:val="0D0D0D"/>
              </w:rPr>
              <w:t>学步车脚轮</w:t>
            </w:r>
          </w:p>
        </w:tc>
        <w:tc>
          <w:tcPr>
            <w:tcW w:w="2154" w:type="pct"/>
            <w:vAlign w:val="center"/>
          </w:tcPr>
          <w:p w14:paraId="5C828838">
            <w:pPr>
              <w:pStyle w:val="23"/>
              <w:adjustRightInd w:val="0"/>
              <w:snapToGrid w:val="0"/>
              <w:jc w:val="center"/>
              <w:rPr>
                <w:rFonts w:ascii="Times New Roman" w:hAnsi="Times New Roman"/>
                <w:color w:val="0D0D0D"/>
              </w:rPr>
            </w:pPr>
            <w:r>
              <w:rPr>
                <w:rFonts w:ascii="Times New Roman" w:hAnsi="Times New Roman"/>
                <w:color w:val="0D0D0D"/>
              </w:rPr>
              <w:t>GB 14749—2006</w:t>
            </w:r>
          </w:p>
        </w:tc>
      </w:tr>
      <w:tr w14:paraId="4AA3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131A9CC8">
            <w:pPr>
              <w:adjustRightInd w:val="0"/>
              <w:snapToGrid w:val="0"/>
              <w:jc w:val="center"/>
              <w:rPr>
                <w:rFonts w:ascii="Times New Roman" w:hAnsi="Times New Roman"/>
                <w:color w:val="0D0D0D"/>
              </w:rPr>
            </w:pPr>
            <w:r>
              <w:rPr>
                <w:rFonts w:ascii="Times New Roman" w:hAnsi="Times New Roman"/>
                <w:color w:val="0D0D0D"/>
              </w:rPr>
              <w:t>15</w:t>
            </w:r>
          </w:p>
        </w:tc>
        <w:tc>
          <w:tcPr>
            <w:tcW w:w="2202" w:type="pct"/>
            <w:vAlign w:val="center"/>
          </w:tcPr>
          <w:p w14:paraId="7EFD66F7">
            <w:pPr>
              <w:adjustRightInd w:val="0"/>
              <w:snapToGrid w:val="0"/>
              <w:jc w:val="center"/>
              <w:rPr>
                <w:rFonts w:ascii="Times New Roman" w:hAnsi="Times New Roman"/>
                <w:color w:val="0D0D0D"/>
              </w:rPr>
            </w:pPr>
            <w:r>
              <w:rPr>
                <w:rFonts w:ascii="Times New Roman" w:hAnsi="Times New Roman"/>
                <w:color w:val="0D0D0D"/>
              </w:rPr>
              <w:t>框架离地高度</w:t>
            </w:r>
          </w:p>
        </w:tc>
        <w:tc>
          <w:tcPr>
            <w:tcW w:w="2154" w:type="pct"/>
            <w:vAlign w:val="center"/>
          </w:tcPr>
          <w:p w14:paraId="5A64086A">
            <w:pPr>
              <w:pStyle w:val="23"/>
              <w:adjustRightInd w:val="0"/>
              <w:snapToGrid w:val="0"/>
              <w:jc w:val="center"/>
              <w:rPr>
                <w:rFonts w:ascii="Times New Roman" w:hAnsi="Times New Roman"/>
                <w:color w:val="0D0D0D"/>
              </w:rPr>
            </w:pPr>
            <w:r>
              <w:rPr>
                <w:rFonts w:ascii="Times New Roman" w:hAnsi="Times New Roman"/>
                <w:color w:val="0D0D0D"/>
              </w:rPr>
              <w:t>GB 14749—2006</w:t>
            </w:r>
          </w:p>
        </w:tc>
      </w:tr>
      <w:tr w14:paraId="7DE2E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07068C6A">
            <w:pPr>
              <w:adjustRightInd w:val="0"/>
              <w:snapToGrid w:val="0"/>
              <w:jc w:val="center"/>
              <w:rPr>
                <w:rFonts w:ascii="Times New Roman" w:hAnsi="Times New Roman"/>
                <w:color w:val="0D0D0D"/>
              </w:rPr>
            </w:pPr>
            <w:r>
              <w:rPr>
                <w:rFonts w:ascii="Times New Roman" w:hAnsi="Times New Roman"/>
                <w:color w:val="0D0D0D"/>
              </w:rPr>
              <w:t>16</w:t>
            </w:r>
          </w:p>
        </w:tc>
        <w:tc>
          <w:tcPr>
            <w:tcW w:w="2202" w:type="pct"/>
            <w:vAlign w:val="center"/>
          </w:tcPr>
          <w:p w14:paraId="21458385">
            <w:pPr>
              <w:adjustRightInd w:val="0"/>
              <w:snapToGrid w:val="0"/>
              <w:jc w:val="center"/>
              <w:rPr>
                <w:rFonts w:ascii="Times New Roman" w:hAnsi="Times New Roman"/>
                <w:color w:val="0D0D0D"/>
              </w:rPr>
            </w:pPr>
            <w:r>
              <w:rPr>
                <w:rFonts w:ascii="Times New Roman" w:hAnsi="Times New Roman"/>
                <w:color w:val="0D0D0D"/>
              </w:rPr>
              <w:t>防撞间距</w:t>
            </w:r>
          </w:p>
        </w:tc>
        <w:tc>
          <w:tcPr>
            <w:tcW w:w="2154" w:type="pct"/>
            <w:vAlign w:val="center"/>
          </w:tcPr>
          <w:p w14:paraId="02D343F6">
            <w:pPr>
              <w:pStyle w:val="23"/>
              <w:adjustRightInd w:val="0"/>
              <w:snapToGrid w:val="0"/>
              <w:jc w:val="center"/>
              <w:rPr>
                <w:rFonts w:ascii="Times New Roman" w:hAnsi="Times New Roman"/>
                <w:color w:val="0D0D0D"/>
              </w:rPr>
            </w:pPr>
            <w:r>
              <w:rPr>
                <w:rFonts w:ascii="Times New Roman" w:hAnsi="Times New Roman"/>
                <w:color w:val="0D0D0D"/>
              </w:rPr>
              <w:t>GB 14749—2006</w:t>
            </w:r>
          </w:p>
        </w:tc>
      </w:tr>
      <w:tr w14:paraId="0DD2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040AA4FA">
            <w:pPr>
              <w:adjustRightInd w:val="0"/>
              <w:snapToGrid w:val="0"/>
              <w:jc w:val="center"/>
              <w:rPr>
                <w:rFonts w:ascii="Times New Roman" w:hAnsi="Times New Roman"/>
                <w:color w:val="0D0D0D"/>
              </w:rPr>
            </w:pPr>
            <w:r>
              <w:rPr>
                <w:rFonts w:ascii="Times New Roman" w:hAnsi="Times New Roman"/>
                <w:color w:val="0D0D0D"/>
              </w:rPr>
              <w:t>17</w:t>
            </w:r>
          </w:p>
        </w:tc>
        <w:tc>
          <w:tcPr>
            <w:tcW w:w="2202" w:type="pct"/>
            <w:vAlign w:val="center"/>
          </w:tcPr>
          <w:p w14:paraId="2767B4DB">
            <w:pPr>
              <w:adjustRightInd w:val="0"/>
              <w:snapToGrid w:val="0"/>
              <w:jc w:val="center"/>
              <w:rPr>
                <w:rFonts w:ascii="Times New Roman" w:hAnsi="Times New Roman"/>
                <w:color w:val="0D0D0D"/>
              </w:rPr>
            </w:pPr>
            <w:r>
              <w:rPr>
                <w:rFonts w:ascii="Times New Roman" w:hAnsi="Times New Roman"/>
                <w:color w:val="0D0D0D"/>
              </w:rPr>
              <w:t>静态稳定性</w:t>
            </w:r>
          </w:p>
        </w:tc>
        <w:tc>
          <w:tcPr>
            <w:tcW w:w="2154" w:type="pct"/>
            <w:vAlign w:val="center"/>
          </w:tcPr>
          <w:p w14:paraId="50920B93">
            <w:pPr>
              <w:pStyle w:val="23"/>
              <w:adjustRightInd w:val="0"/>
              <w:snapToGrid w:val="0"/>
              <w:jc w:val="center"/>
              <w:rPr>
                <w:rFonts w:ascii="Times New Roman" w:hAnsi="Times New Roman"/>
                <w:color w:val="0D0D0D"/>
              </w:rPr>
            </w:pPr>
            <w:r>
              <w:rPr>
                <w:rFonts w:ascii="Times New Roman" w:hAnsi="Times New Roman"/>
                <w:color w:val="0D0D0D"/>
              </w:rPr>
              <w:t>GB 14749—2006</w:t>
            </w:r>
          </w:p>
        </w:tc>
      </w:tr>
      <w:tr w14:paraId="28DAA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70F3D989">
            <w:pPr>
              <w:adjustRightInd w:val="0"/>
              <w:snapToGrid w:val="0"/>
              <w:jc w:val="center"/>
              <w:rPr>
                <w:rFonts w:ascii="Times New Roman" w:hAnsi="Times New Roman"/>
                <w:color w:val="0D0D0D"/>
              </w:rPr>
            </w:pPr>
            <w:r>
              <w:rPr>
                <w:rFonts w:ascii="Times New Roman" w:hAnsi="Times New Roman"/>
                <w:color w:val="0D0D0D"/>
              </w:rPr>
              <w:t>18</w:t>
            </w:r>
          </w:p>
        </w:tc>
        <w:tc>
          <w:tcPr>
            <w:tcW w:w="2202" w:type="pct"/>
            <w:vAlign w:val="center"/>
          </w:tcPr>
          <w:p w14:paraId="55ED3E40">
            <w:pPr>
              <w:adjustRightInd w:val="0"/>
              <w:snapToGrid w:val="0"/>
              <w:jc w:val="center"/>
              <w:rPr>
                <w:rFonts w:ascii="Times New Roman" w:hAnsi="Times New Roman"/>
                <w:color w:val="0D0D0D"/>
              </w:rPr>
            </w:pPr>
            <w:r>
              <w:rPr>
                <w:rFonts w:ascii="Times New Roman" w:hAnsi="Times New Roman"/>
                <w:color w:val="0D0D0D"/>
              </w:rPr>
              <w:t>动态稳定性</w:t>
            </w:r>
          </w:p>
        </w:tc>
        <w:tc>
          <w:tcPr>
            <w:tcW w:w="2154" w:type="pct"/>
            <w:vAlign w:val="center"/>
          </w:tcPr>
          <w:p w14:paraId="097A033B">
            <w:pPr>
              <w:pStyle w:val="23"/>
              <w:adjustRightInd w:val="0"/>
              <w:snapToGrid w:val="0"/>
              <w:jc w:val="center"/>
              <w:rPr>
                <w:rFonts w:ascii="Times New Roman" w:hAnsi="Times New Roman"/>
                <w:color w:val="0D0D0D"/>
              </w:rPr>
            </w:pPr>
            <w:r>
              <w:rPr>
                <w:rFonts w:ascii="Times New Roman" w:hAnsi="Times New Roman"/>
                <w:color w:val="0D0D0D"/>
              </w:rPr>
              <w:t>GB 14749—2006</w:t>
            </w:r>
          </w:p>
        </w:tc>
      </w:tr>
      <w:tr w14:paraId="4E12F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67BB8B38">
            <w:pPr>
              <w:adjustRightInd w:val="0"/>
              <w:snapToGrid w:val="0"/>
              <w:jc w:val="center"/>
              <w:rPr>
                <w:rFonts w:ascii="Times New Roman" w:hAnsi="Times New Roman"/>
                <w:color w:val="0D0D0D"/>
              </w:rPr>
            </w:pPr>
            <w:r>
              <w:rPr>
                <w:rFonts w:ascii="Times New Roman" w:hAnsi="Times New Roman"/>
                <w:color w:val="0D0D0D"/>
              </w:rPr>
              <w:t>19</w:t>
            </w:r>
          </w:p>
        </w:tc>
        <w:tc>
          <w:tcPr>
            <w:tcW w:w="2202" w:type="pct"/>
            <w:vAlign w:val="center"/>
          </w:tcPr>
          <w:p w14:paraId="20D8C7E6">
            <w:pPr>
              <w:adjustRightInd w:val="0"/>
              <w:snapToGrid w:val="0"/>
              <w:jc w:val="center"/>
              <w:rPr>
                <w:rFonts w:ascii="Times New Roman" w:hAnsi="Times New Roman"/>
                <w:color w:val="0D0D0D"/>
              </w:rPr>
            </w:pPr>
            <w:r>
              <w:rPr>
                <w:rFonts w:ascii="Times New Roman" w:hAnsi="Times New Roman"/>
                <w:color w:val="0D0D0D"/>
              </w:rPr>
              <w:t>静态强度</w:t>
            </w:r>
          </w:p>
        </w:tc>
        <w:tc>
          <w:tcPr>
            <w:tcW w:w="2154" w:type="pct"/>
            <w:vAlign w:val="center"/>
          </w:tcPr>
          <w:p w14:paraId="37799341">
            <w:pPr>
              <w:pStyle w:val="23"/>
              <w:adjustRightInd w:val="0"/>
              <w:snapToGrid w:val="0"/>
              <w:jc w:val="center"/>
              <w:rPr>
                <w:rFonts w:ascii="Times New Roman" w:hAnsi="Times New Roman"/>
                <w:color w:val="0D0D0D"/>
              </w:rPr>
            </w:pPr>
            <w:r>
              <w:rPr>
                <w:rFonts w:ascii="Times New Roman" w:hAnsi="Times New Roman"/>
                <w:color w:val="0D0D0D"/>
              </w:rPr>
              <w:t>GB 14749—2006</w:t>
            </w:r>
          </w:p>
        </w:tc>
      </w:tr>
      <w:tr w14:paraId="78B60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47937283">
            <w:pPr>
              <w:adjustRightInd w:val="0"/>
              <w:snapToGrid w:val="0"/>
              <w:jc w:val="center"/>
              <w:rPr>
                <w:rFonts w:ascii="Times New Roman" w:hAnsi="Times New Roman"/>
                <w:color w:val="0D0D0D"/>
              </w:rPr>
            </w:pPr>
            <w:r>
              <w:rPr>
                <w:rFonts w:ascii="Times New Roman" w:hAnsi="Times New Roman"/>
                <w:color w:val="0D0D0D"/>
              </w:rPr>
              <w:t>20</w:t>
            </w:r>
          </w:p>
        </w:tc>
        <w:tc>
          <w:tcPr>
            <w:tcW w:w="2202" w:type="pct"/>
            <w:vAlign w:val="center"/>
          </w:tcPr>
          <w:p w14:paraId="7E9CF8D5">
            <w:pPr>
              <w:adjustRightInd w:val="0"/>
              <w:snapToGrid w:val="0"/>
              <w:jc w:val="center"/>
              <w:rPr>
                <w:rFonts w:ascii="Times New Roman" w:hAnsi="Times New Roman"/>
                <w:color w:val="0D0D0D"/>
              </w:rPr>
            </w:pPr>
            <w:r>
              <w:rPr>
                <w:rFonts w:ascii="Times New Roman" w:hAnsi="Times New Roman"/>
                <w:color w:val="0D0D0D"/>
              </w:rPr>
              <w:t>动态强度</w:t>
            </w:r>
          </w:p>
        </w:tc>
        <w:tc>
          <w:tcPr>
            <w:tcW w:w="2154" w:type="pct"/>
            <w:vAlign w:val="center"/>
          </w:tcPr>
          <w:p w14:paraId="6702FD23">
            <w:pPr>
              <w:pStyle w:val="23"/>
              <w:adjustRightInd w:val="0"/>
              <w:snapToGrid w:val="0"/>
              <w:jc w:val="center"/>
              <w:rPr>
                <w:rFonts w:ascii="Times New Roman" w:hAnsi="Times New Roman"/>
                <w:color w:val="0D0D0D"/>
              </w:rPr>
            </w:pPr>
            <w:r>
              <w:rPr>
                <w:rFonts w:ascii="Times New Roman" w:hAnsi="Times New Roman"/>
                <w:color w:val="0D0D0D"/>
              </w:rPr>
              <w:t>GB 14749—2006</w:t>
            </w:r>
          </w:p>
        </w:tc>
      </w:tr>
      <w:tr w14:paraId="6A56E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7A5DAB22">
            <w:pPr>
              <w:adjustRightInd w:val="0"/>
              <w:snapToGrid w:val="0"/>
              <w:jc w:val="center"/>
              <w:rPr>
                <w:rFonts w:ascii="Times New Roman" w:hAnsi="Times New Roman"/>
                <w:color w:val="0D0D0D"/>
              </w:rPr>
            </w:pPr>
            <w:r>
              <w:rPr>
                <w:rFonts w:ascii="Times New Roman" w:hAnsi="Times New Roman"/>
                <w:color w:val="0D0D0D"/>
              </w:rPr>
              <w:t>21</w:t>
            </w:r>
          </w:p>
        </w:tc>
        <w:tc>
          <w:tcPr>
            <w:tcW w:w="2202" w:type="pct"/>
            <w:vAlign w:val="center"/>
          </w:tcPr>
          <w:p w14:paraId="767B2DF6">
            <w:pPr>
              <w:adjustRightInd w:val="0"/>
              <w:snapToGrid w:val="0"/>
              <w:jc w:val="center"/>
              <w:rPr>
                <w:rFonts w:ascii="Times New Roman" w:hAnsi="Times New Roman"/>
                <w:color w:val="0D0D0D"/>
              </w:rPr>
            </w:pPr>
            <w:r>
              <w:rPr>
                <w:rFonts w:ascii="Times New Roman" w:hAnsi="Times New Roman"/>
                <w:color w:val="0D0D0D"/>
              </w:rPr>
              <w:t>碰撞强度</w:t>
            </w:r>
          </w:p>
        </w:tc>
        <w:tc>
          <w:tcPr>
            <w:tcW w:w="2154" w:type="pct"/>
            <w:vAlign w:val="center"/>
          </w:tcPr>
          <w:p w14:paraId="6E9F24E2">
            <w:pPr>
              <w:pStyle w:val="23"/>
              <w:adjustRightInd w:val="0"/>
              <w:snapToGrid w:val="0"/>
              <w:jc w:val="center"/>
              <w:rPr>
                <w:rFonts w:ascii="Times New Roman" w:hAnsi="Times New Roman"/>
                <w:color w:val="0D0D0D"/>
              </w:rPr>
            </w:pPr>
            <w:r>
              <w:rPr>
                <w:rFonts w:ascii="Times New Roman" w:hAnsi="Times New Roman"/>
                <w:color w:val="0D0D0D"/>
              </w:rPr>
              <w:t>GB 14749—2006</w:t>
            </w:r>
          </w:p>
        </w:tc>
      </w:tr>
      <w:tr w14:paraId="27B82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24277142">
            <w:pPr>
              <w:adjustRightInd w:val="0"/>
              <w:snapToGrid w:val="0"/>
              <w:jc w:val="center"/>
              <w:rPr>
                <w:rFonts w:ascii="Times New Roman" w:hAnsi="Times New Roman"/>
                <w:color w:val="0D0D0D"/>
              </w:rPr>
            </w:pPr>
            <w:r>
              <w:rPr>
                <w:rFonts w:ascii="Times New Roman" w:hAnsi="Times New Roman"/>
                <w:color w:val="0D0D0D"/>
              </w:rPr>
              <w:t>22</w:t>
            </w:r>
          </w:p>
        </w:tc>
        <w:tc>
          <w:tcPr>
            <w:tcW w:w="2202" w:type="pct"/>
            <w:vAlign w:val="center"/>
          </w:tcPr>
          <w:p w14:paraId="1830B65D">
            <w:pPr>
              <w:adjustRightInd w:val="0"/>
              <w:snapToGrid w:val="0"/>
              <w:jc w:val="center"/>
              <w:rPr>
                <w:rFonts w:ascii="Times New Roman" w:hAnsi="Times New Roman"/>
                <w:color w:val="0D0D0D"/>
              </w:rPr>
            </w:pPr>
            <w:r>
              <w:rPr>
                <w:rFonts w:ascii="Times New Roman" w:hAnsi="Times New Roman"/>
                <w:color w:val="0D0D0D"/>
              </w:rPr>
              <w:t>燃烧性能</w:t>
            </w:r>
          </w:p>
        </w:tc>
        <w:tc>
          <w:tcPr>
            <w:tcW w:w="2154" w:type="pct"/>
            <w:vAlign w:val="center"/>
          </w:tcPr>
          <w:p w14:paraId="1FD0C8E8">
            <w:pPr>
              <w:pStyle w:val="23"/>
              <w:adjustRightInd w:val="0"/>
              <w:snapToGrid w:val="0"/>
              <w:jc w:val="center"/>
              <w:rPr>
                <w:rFonts w:ascii="Times New Roman" w:hAnsi="Times New Roman"/>
                <w:color w:val="0D0D0D"/>
              </w:rPr>
            </w:pPr>
            <w:r>
              <w:rPr>
                <w:rFonts w:ascii="Times New Roman" w:hAnsi="Times New Roman"/>
                <w:color w:val="0D0D0D"/>
              </w:rPr>
              <w:t>GB 14749—2006</w:t>
            </w:r>
          </w:p>
        </w:tc>
      </w:tr>
      <w:tr w14:paraId="58D70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44" w:type="pct"/>
            <w:vAlign w:val="center"/>
          </w:tcPr>
          <w:p w14:paraId="5EB5AA07">
            <w:pPr>
              <w:adjustRightInd w:val="0"/>
              <w:snapToGrid w:val="0"/>
              <w:jc w:val="center"/>
              <w:rPr>
                <w:rFonts w:hint="eastAsia" w:ascii="Times New Roman" w:hAnsi="Times New Roman"/>
                <w:color w:val="0D0D0D"/>
              </w:rPr>
            </w:pPr>
            <w:r>
              <w:rPr>
                <w:rFonts w:hint="eastAsia" w:ascii="Times New Roman" w:hAnsi="Times New Roman"/>
                <w:color w:val="0D0D0D"/>
              </w:rPr>
              <w:t>23</w:t>
            </w:r>
          </w:p>
        </w:tc>
        <w:tc>
          <w:tcPr>
            <w:tcW w:w="2202" w:type="pct"/>
            <w:vAlign w:val="center"/>
          </w:tcPr>
          <w:p w14:paraId="7A48B0B2">
            <w:pPr>
              <w:adjustRightInd w:val="0"/>
              <w:snapToGrid w:val="0"/>
              <w:jc w:val="center"/>
              <w:rPr>
                <w:rFonts w:ascii="Times New Roman" w:hAnsi="Times New Roman"/>
                <w:color w:val="0D0D0D"/>
              </w:rPr>
            </w:pPr>
            <w:r>
              <w:rPr>
                <w:rFonts w:hint="eastAsia" w:ascii="Times New Roman" w:hAnsi="Times New Roman"/>
                <w:color w:val="0D0D0D"/>
              </w:rPr>
              <w:t>产品标志和使用说明</w:t>
            </w:r>
          </w:p>
        </w:tc>
        <w:tc>
          <w:tcPr>
            <w:tcW w:w="2154" w:type="pct"/>
            <w:vAlign w:val="center"/>
          </w:tcPr>
          <w:p w14:paraId="51AF9AEB">
            <w:pPr>
              <w:pStyle w:val="23"/>
              <w:adjustRightInd w:val="0"/>
              <w:snapToGrid w:val="0"/>
              <w:jc w:val="center"/>
              <w:rPr>
                <w:rFonts w:ascii="Times New Roman" w:hAnsi="Times New Roman"/>
                <w:color w:val="0D0D0D"/>
              </w:rPr>
            </w:pPr>
            <w:r>
              <w:rPr>
                <w:rFonts w:ascii="Times New Roman" w:hAnsi="Times New Roman"/>
                <w:color w:val="0D0D0D"/>
              </w:rPr>
              <w:t>GB 14749—2006</w:t>
            </w:r>
          </w:p>
        </w:tc>
      </w:tr>
    </w:tbl>
    <w:p w14:paraId="4BC8F754">
      <w:pPr>
        <w:adjustRightInd w:val="0"/>
        <w:snapToGrid w:val="0"/>
        <w:spacing w:line="440" w:lineRule="exact"/>
        <w:ind w:firstLine="420" w:firstLineChars="200"/>
        <w:rPr>
          <w:rFonts w:ascii="Times New Roman" w:hAnsi="Times New Roman"/>
          <w:szCs w:val="21"/>
        </w:rPr>
      </w:pPr>
      <w:r>
        <w:rPr>
          <w:rFonts w:hint="eastAsia" w:ascii="Times New Roman" w:hAnsi="Times New Roman"/>
          <w:szCs w:val="21"/>
        </w:rPr>
        <w:t>执行企业标准、团体标准、地方标准的产品，检验项目参照上述内容执行。</w:t>
      </w:r>
    </w:p>
    <w:p w14:paraId="77C5359E">
      <w:pPr>
        <w:snapToGrid w:val="0"/>
        <w:spacing w:line="440" w:lineRule="exact"/>
        <w:ind w:firstLine="420" w:firstLineChars="200"/>
        <w:rPr>
          <w:rFonts w:ascii="Times New Roman" w:hAnsi="Times New Roman"/>
          <w:szCs w:val="21"/>
        </w:rPr>
      </w:pPr>
      <w:r>
        <w:rPr>
          <w:rFonts w:ascii="Times New Roman" w:hAnsi="Times New Roman"/>
          <w:szCs w:val="21"/>
        </w:rPr>
        <w:t>凡是注日期的文件，其随后所有的修改单（不包括勘误的内容）或修订版不适用于本细则。凡是不注日期的文件，其最新版本适用于本细则。</w:t>
      </w:r>
    </w:p>
    <w:p w14:paraId="63A6E203">
      <w:pPr>
        <w:spacing w:line="440" w:lineRule="exact"/>
        <w:rPr>
          <w:rFonts w:ascii="Times New Roman" w:hAnsi="Times New Roman" w:eastAsia="黑体"/>
          <w:szCs w:val="21"/>
        </w:rPr>
      </w:pPr>
      <w:r>
        <w:rPr>
          <w:rFonts w:ascii="Times New Roman" w:hAnsi="Times New Roman" w:eastAsia="黑体"/>
          <w:szCs w:val="21"/>
        </w:rPr>
        <w:t>3 判定规则</w:t>
      </w:r>
    </w:p>
    <w:p w14:paraId="1439716C">
      <w:pPr>
        <w:snapToGrid w:val="0"/>
        <w:spacing w:line="440" w:lineRule="exact"/>
        <w:rPr>
          <w:rFonts w:ascii="Times New Roman" w:hAnsi="Times New Roman"/>
          <w:szCs w:val="21"/>
        </w:rPr>
      </w:pPr>
      <w:r>
        <w:rPr>
          <w:rFonts w:ascii="Times New Roman" w:hAnsi="Times New Roman"/>
          <w:szCs w:val="21"/>
        </w:rPr>
        <w:t>3.1依据标准</w:t>
      </w:r>
    </w:p>
    <w:p w14:paraId="3A59785A">
      <w:pPr>
        <w:adjustRightInd w:val="0"/>
        <w:snapToGrid w:val="0"/>
        <w:spacing w:line="440" w:lineRule="exact"/>
        <w:ind w:firstLine="420" w:firstLineChars="200"/>
        <w:rPr>
          <w:rFonts w:ascii="Times New Roman" w:hAnsi="Times New Roman"/>
          <w:szCs w:val="21"/>
        </w:rPr>
      </w:pPr>
      <w:r>
        <w:rPr>
          <w:rFonts w:ascii="Times New Roman" w:hAnsi="Times New Roman"/>
          <w:szCs w:val="21"/>
        </w:rPr>
        <w:t>GB 6675.1—2014 玩具安全  第1部分：基本规范</w:t>
      </w:r>
    </w:p>
    <w:p w14:paraId="156AE7B8">
      <w:pPr>
        <w:adjustRightInd w:val="0"/>
        <w:snapToGrid w:val="0"/>
        <w:spacing w:line="440" w:lineRule="exact"/>
        <w:ind w:firstLine="420" w:firstLineChars="200"/>
        <w:rPr>
          <w:rFonts w:ascii="Times New Roman" w:hAnsi="Times New Roman"/>
          <w:szCs w:val="21"/>
        </w:rPr>
      </w:pPr>
      <w:r>
        <w:rPr>
          <w:rFonts w:ascii="Times New Roman" w:hAnsi="Times New Roman"/>
          <w:szCs w:val="21"/>
        </w:rPr>
        <w:t>GB 6675.2—2014 玩具安全  第2部分：机械与物理性能</w:t>
      </w:r>
      <w:r>
        <w:rPr>
          <w:rFonts w:ascii="Times New Roman" w:hAnsi="Times New Roman"/>
          <w:color w:val="000000"/>
          <w:szCs w:val="21"/>
        </w:rPr>
        <w:t>（含第1号修改单）</w:t>
      </w:r>
    </w:p>
    <w:p w14:paraId="41483B36">
      <w:pPr>
        <w:adjustRightInd w:val="0"/>
        <w:snapToGrid w:val="0"/>
        <w:spacing w:line="440" w:lineRule="exact"/>
        <w:ind w:firstLine="420" w:firstLineChars="200"/>
        <w:rPr>
          <w:rFonts w:ascii="Times New Roman" w:hAnsi="Times New Roman"/>
          <w:szCs w:val="21"/>
        </w:rPr>
      </w:pPr>
      <w:r>
        <w:rPr>
          <w:rFonts w:ascii="Times New Roman" w:hAnsi="Times New Roman"/>
          <w:szCs w:val="21"/>
        </w:rPr>
        <w:t>GB 6675.3—2014 玩具安全  第3部分：易燃性能</w:t>
      </w:r>
    </w:p>
    <w:p w14:paraId="0B145765">
      <w:pPr>
        <w:adjustRightInd w:val="0"/>
        <w:snapToGrid w:val="0"/>
        <w:spacing w:line="440" w:lineRule="exact"/>
        <w:ind w:firstLine="420" w:firstLineChars="200"/>
        <w:rPr>
          <w:rFonts w:ascii="Times New Roman" w:hAnsi="Times New Roman"/>
          <w:szCs w:val="21"/>
        </w:rPr>
      </w:pPr>
      <w:r>
        <w:rPr>
          <w:rFonts w:ascii="Times New Roman" w:hAnsi="Times New Roman"/>
          <w:szCs w:val="21"/>
        </w:rPr>
        <w:t>GB 6675.4—2014 玩具安全  第4部分：特定元素的迁移</w:t>
      </w:r>
    </w:p>
    <w:p w14:paraId="664B9D59">
      <w:pPr>
        <w:adjustRightInd w:val="0"/>
        <w:snapToGrid w:val="0"/>
        <w:spacing w:line="440" w:lineRule="exact"/>
        <w:ind w:firstLine="420" w:firstLineChars="200"/>
        <w:rPr>
          <w:rFonts w:ascii="Times New Roman" w:hAnsi="Times New Roman"/>
          <w:szCs w:val="21"/>
        </w:rPr>
      </w:pPr>
      <w:r>
        <w:rPr>
          <w:rFonts w:ascii="Times New Roman" w:hAnsi="Times New Roman"/>
          <w:szCs w:val="21"/>
        </w:rPr>
        <w:t>GB 14748—2006 儿童推车安全要求</w:t>
      </w:r>
    </w:p>
    <w:p w14:paraId="7DE05591">
      <w:pPr>
        <w:adjustRightInd w:val="0"/>
        <w:snapToGrid w:val="0"/>
        <w:spacing w:line="440" w:lineRule="exact"/>
        <w:ind w:firstLine="420" w:firstLineChars="200"/>
        <w:rPr>
          <w:rFonts w:ascii="Times New Roman" w:hAnsi="Times New Roman"/>
          <w:szCs w:val="21"/>
        </w:rPr>
      </w:pPr>
      <w:r>
        <w:rPr>
          <w:rFonts w:ascii="Times New Roman" w:hAnsi="Times New Roman"/>
          <w:szCs w:val="21"/>
        </w:rPr>
        <w:t>GB 14749—2006 婴儿学步车安全要求</w:t>
      </w:r>
    </w:p>
    <w:p w14:paraId="57F7FC6F">
      <w:pPr>
        <w:snapToGrid w:val="0"/>
        <w:spacing w:line="440" w:lineRule="exact"/>
        <w:ind w:firstLine="420" w:firstLineChars="200"/>
        <w:rPr>
          <w:rFonts w:ascii="Times New Roman" w:hAnsi="Times New Roman"/>
          <w:color w:val="000000"/>
          <w:szCs w:val="21"/>
        </w:rPr>
      </w:pPr>
      <w:r>
        <w:rPr>
          <w:rFonts w:hint="eastAsia" w:ascii="Times New Roman" w:hAnsi="Times New Roman"/>
          <w:color w:val="000000"/>
          <w:szCs w:val="21"/>
        </w:rPr>
        <w:t>现行有效的企业标准、团体标准、地方标准及产品明示质量要求</w:t>
      </w:r>
    </w:p>
    <w:p w14:paraId="5F9C0AB6">
      <w:pPr>
        <w:snapToGrid w:val="0"/>
        <w:spacing w:line="440" w:lineRule="exact"/>
        <w:rPr>
          <w:rFonts w:ascii="Times New Roman" w:hAnsi="Times New Roman"/>
          <w:color w:val="000000"/>
          <w:szCs w:val="21"/>
        </w:rPr>
      </w:pPr>
      <w:r>
        <w:rPr>
          <w:rFonts w:hint="eastAsia" w:ascii="Times New Roman" w:hAnsi="Times New Roman"/>
          <w:color w:val="000000"/>
          <w:szCs w:val="21"/>
        </w:rPr>
        <w:t>3.2判定原则</w:t>
      </w:r>
    </w:p>
    <w:p w14:paraId="0053C089">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经检验，检验项目全部合格，判定为被抽查产品</w:t>
      </w:r>
      <w:r>
        <w:rPr>
          <w:rFonts w:hint="eastAsia" w:ascii="Times New Roman" w:hAnsi="Times New Roman"/>
          <w:color w:val="000000"/>
          <w:szCs w:val="21"/>
        </w:rPr>
        <w:t>所检项目未发现不</w:t>
      </w:r>
      <w:r>
        <w:rPr>
          <w:rFonts w:ascii="Times New Roman" w:hAnsi="Times New Roman"/>
          <w:color w:val="000000"/>
          <w:szCs w:val="21"/>
        </w:rPr>
        <w:t>合格；检验项目中任一项或一项以上不合格，判定为被抽查产品不合格。</w:t>
      </w:r>
    </w:p>
    <w:p w14:paraId="280E0822">
      <w:pPr>
        <w:snapToGrid w:val="0"/>
        <w:spacing w:line="440" w:lineRule="exact"/>
        <w:ind w:firstLine="417" w:firstLineChars="199"/>
        <w:rPr>
          <w:rFonts w:ascii="Times New Roman" w:hAnsi="Times New Roman"/>
          <w:color w:val="000000"/>
          <w:szCs w:val="21"/>
        </w:rPr>
      </w:pPr>
      <w:r>
        <w:rPr>
          <w:rFonts w:hint="eastAsia" w:ascii="Times New Roman" w:hAnsi="Times New Roman"/>
          <w:color w:val="000000"/>
          <w:szCs w:val="21"/>
        </w:rPr>
        <w:t>若被检产品明示的质量要求高于本细则中检验项目依据的标准要求时，应按被检产品明示的质量要求判定。</w:t>
      </w:r>
    </w:p>
    <w:p w14:paraId="3D5ADB51">
      <w:pPr>
        <w:snapToGrid w:val="0"/>
        <w:spacing w:line="440" w:lineRule="exact"/>
        <w:ind w:firstLine="417" w:firstLineChars="199"/>
        <w:rPr>
          <w:rFonts w:ascii="Times New Roman" w:hAnsi="Times New Roman"/>
          <w:color w:val="000000"/>
          <w:szCs w:val="21"/>
        </w:rPr>
      </w:pPr>
      <w:r>
        <w:rPr>
          <w:rFonts w:hint="eastAsia" w:ascii="Times New Roman" w:hAnsi="Times New Roman"/>
          <w:color w:val="000000"/>
          <w:szCs w:val="21"/>
        </w:rPr>
        <w:t>若被检产品明示的质量要求低于本细则中检验项目依据的强制性标准要求时，应按照强制性标准要求判定。</w:t>
      </w:r>
    </w:p>
    <w:p w14:paraId="619C87EB">
      <w:pPr>
        <w:snapToGrid w:val="0"/>
        <w:spacing w:line="440" w:lineRule="exact"/>
        <w:ind w:firstLine="417" w:firstLineChars="199"/>
        <w:rPr>
          <w:rFonts w:ascii="Times New Roman" w:hAnsi="Times New Roman"/>
          <w:color w:val="000000"/>
          <w:szCs w:val="21"/>
        </w:rPr>
      </w:pPr>
      <w:r>
        <w:rPr>
          <w:rFonts w:hint="eastAsia" w:ascii="Times New Roman" w:hAnsi="Times New Roman"/>
          <w:color w:val="000000"/>
          <w:szCs w:val="21"/>
        </w:rPr>
        <w:t>若被检产品明示的质量要求低于或包含本细则中检验项目依据的推荐性标准要求时，应以被检产品明示的质量要求判定。</w:t>
      </w:r>
    </w:p>
    <w:p w14:paraId="4D1725E0">
      <w:pPr>
        <w:snapToGrid w:val="0"/>
        <w:spacing w:line="440" w:lineRule="exact"/>
        <w:ind w:firstLine="417" w:firstLineChars="199"/>
        <w:rPr>
          <w:rFonts w:ascii="Times New Roman" w:hAnsi="Times New Roman"/>
          <w:color w:val="000000"/>
          <w:szCs w:val="21"/>
        </w:rPr>
      </w:pPr>
      <w:r>
        <w:rPr>
          <w:rFonts w:hint="eastAsia" w:ascii="Times New Roman" w:hAnsi="Times New Roman"/>
          <w:color w:val="000000"/>
          <w:szCs w:val="21"/>
        </w:rPr>
        <w:t>若被检产品明示的质量要求缺少本细则中检验项目依据的强制性标准要求时，应按照强制性标准要求判定。</w:t>
      </w:r>
    </w:p>
    <w:p w14:paraId="24DE4580">
      <w:pPr>
        <w:snapToGrid w:val="0"/>
        <w:spacing w:line="440" w:lineRule="exact"/>
        <w:ind w:firstLine="417" w:firstLineChars="199"/>
        <w:rPr>
          <w:rFonts w:ascii="Times New Roman" w:hAnsi="Times New Roman"/>
          <w:color w:val="FF0000"/>
          <w:szCs w:val="21"/>
        </w:rPr>
      </w:pPr>
      <w:r>
        <w:rPr>
          <w:rFonts w:hint="eastAsia" w:ascii="Times New Roman" w:hAnsi="Times New Roman"/>
          <w:color w:val="000000"/>
          <w:szCs w:val="21"/>
        </w:rPr>
        <w:t>若被检产品明示的质量要求缺少本细则中检验项目依据的推荐性标准要求时，该项目不参与判定。</w:t>
      </w:r>
    </w:p>
    <w:bookmarkEnd w:id="0"/>
    <w:sectPr>
      <w:headerReference r:id="rId3" w:type="first"/>
      <w:footerReference r:id="rId4" w:type="even"/>
      <w:pgSz w:w="11906" w:h="16838"/>
      <w:pgMar w:top="1701" w:right="1644" w:bottom="1701" w:left="1644"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0F6D4">
    <w:pPr>
      <w:pStyle w:val="5"/>
      <w:framePr w:wrap="around" w:vAnchor="text" w:hAnchor="margin" w:xAlign="center" w:y="1"/>
      <w:rPr>
        <w:rStyle w:val="12"/>
      </w:rPr>
    </w:pPr>
    <w:r>
      <w:fldChar w:fldCharType="begin"/>
    </w:r>
    <w:r>
      <w:rPr>
        <w:rStyle w:val="12"/>
      </w:rPr>
      <w:instrText xml:space="preserve">PAGE  </w:instrText>
    </w:r>
    <w:r>
      <w:fldChar w:fldCharType="end"/>
    </w:r>
  </w:p>
  <w:p w14:paraId="2549F763">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A91CE">
    <w:pPr>
      <w:pStyle w:val="6"/>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k2NmVlYTBlZTAwM2YyMGZkYzQzNzBhMjA3ZjVhY2UifQ=="/>
  </w:docVars>
  <w:rsids>
    <w:rsidRoot w:val="00CE7A3C"/>
    <w:rsid w:val="00054B99"/>
    <w:rsid w:val="000858BC"/>
    <w:rsid w:val="00130352"/>
    <w:rsid w:val="00134A57"/>
    <w:rsid w:val="00152127"/>
    <w:rsid w:val="00160A40"/>
    <w:rsid w:val="00162286"/>
    <w:rsid w:val="0016744D"/>
    <w:rsid w:val="00183DF2"/>
    <w:rsid w:val="001B6955"/>
    <w:rsid w:val="001F60F3"/>
    <w:rsid w:val="00224141"/>
    <w:rsid w:val="00241965"/>
    <w:rsid w:val="002A00BD"/>
    <w:rsid w:val="002B36DF"/>
    <w:rsid w:val="003226D8"/>
    <w:rsid w:val="003458A7"/>
    <w:rsid w:val="003740BF"/>
    <w:rsid w:val="00385221"/>
    <w:rsid w:val="003B7EDA"/>
    <w:rsid w:val="003E2406"/>
    <w:rsid w:val="003E53DD"/>
    <w:rsid w:val="003F22E4"/>
    <w:rsid w:val="003F55F3"/>
    <w:rsid w:val="0041110C"/>
    <w:rsid w:val="004443C7"/>
    <w:rsid w:val="00464003"/>
    <w:rsid w:val="00464765"/>
    <w:rsid w:val="004D4755"/>
    <w:rsid w:val="004E5A68"/>
    <w:rsid w:val="004F0AB8"/>
    <w:rsid w:val="005175A2"/>
    <w:rsid w:val="0056090F"/>
    <w:rsid w:val="00564F31"/>
    <w:rsid w:val="005650CA"/>
    <w:rsid w:val="005E78DD"/>
    <w:rsid w:val="006167E6"/>
    <w:rsid w:val="0064433D"/>
    <w:rsid w:val="00651845"/>
    <w:rsid w:val="00693892"/>
    <w:rsid w:val="006A59B8"/>
    <w:rsid w:val="006A5B78"/>
    <w:rsid w:val="006A759B"/>
    <w:rsid w:val="006B626B"/>
    <w:rsid w:val="006D083D"/>
    <w:rsid w:val="006F60F7"/>
    <w:rsid w:val="00727D45"/>
    <w:rsid w:val="00732B06"/>
    <w:rsid w:val="00772FF3"/>
    <w:rsid w:val="00784947"/>
    <w:rsid w:val="00784ECC"/>
    <w:rsid w:val="0079079B"/>
    <w:rsid w:val="007923F2"/>
    <w:rsid w:val="007A264F"/>
    <w:rsid w:val="007C4DE5"/>
    <w:rsid w:val="0082105A"/>
    <w:rsid w:val="00851B1A"/>
    <w:rsid w:val="008700FD"/>
    <w:rsid w:val="008B7736"/>
    <w:rsid w:val="008D234F"/>
    <w:rsid w:val="008E2605"/>
    <w:rsid w:val="0094651A"/>
    <w:rsid w:val="00996C5D"/>
    <w:rsid w:val="009D136D"/>
    <w:rsid w:val="009E3134"/>
    <w:rsid w:val="009E4C46"/>
    <w:rsid w:val="00A63F91"/>
    <w:rsid w:val="00A70A2F"/>
    <w:rsid w:val="00A72102"/>
    <w:rsid w:val="00A86C22"/>
    <w:rsid w:val="00A91D04"/>
    <w:rsid w:val="00AA1185"/>
    <w:rsid w:val="00AA32D1"/>
    <w:rsid w:val="00AB5621"/>
    <w:rsid w:val="00AC4C6B"/>
    <w:rsid w:val="00AC5B64"/>
    <w:rsid w:val="00AD1562"/>
    <w:rsid w:val="00AD3EBB"/>
    <w:rsid w:val="00AE7467"/>
    <w:rsid w:val="00B224BF"/>
    <w:rsid w:val="00B5765C"/>
    <w:rsid w:val="00B84BB3"/>
    <w:rsid w:val="00BA2BCF"/>
    <w:rsid w:val="00BB0FCB"/>
    <w:rsid w:val="00BB473C"/>
    <w:rsid w:val="00BB7016"/>
    <w:rsid w:val="00C124F2"/>
    <w:rsid w:val="00C2272B"/>
    <w:rsid w:val="00C367D4"/>
    <w:rsid w:val="00C765EA"/>
    <w:rsid w:val="00C93A5D"/>
    <w:rsid w:val="00C959A2"/>
    <w:rsid w:val="00CA215D"/>
    <w:rsid w:val="00CB4CFA"/>
    <w:rsid w:val="00CC3433"/>
    <w:rsid w:val="00CD0567"/>
    <w:rsid w:val="00CE5417"/>
    <w:rsid w:val="00CE7A3C"/>
    <w:rsid w:val="00D11AB1"/>
    <w:rsid w:val="00D5195C"/>
    <w:rsid w:val="00D860AC"/>
    <w:rsid w:val="00D96725"/>
    <w:rsid w:val="00DA2AEF"/>
    <w:rsid w:val="00DB4433"/>
    <w:rsid w:val="00DE27E4"/>
    <w:rsid w:val="00E26B56"/>
    <w:rsid w:val="00E326FB"/>
    <w:rsid w:val="00E771BA"/>
    <w:rsid w:val="00E77FA3"/>
    <w:rsid w:val="00E81CDA"/>
    <w:rsid w:val="00EC602B"/>
    <w:rsid w:val="00ED0F75"/>
    <w:rsid w:val="00EE291E"/>
    <w:rsid w:val="00EE3494"/>
    <w:rsid w:val="00EE6B14"/>
    <w:rsid w:val="00F1617D"/>
    <w:rsid w:val="00F343CE"/>
    <w:rsid w:val="00F35FF2"/>
    <w:rsid w:val="00F806BC"/>
    <w:rsid w:val="00FA474F"/>
    <w:rsid w:val="00FA5E3E"/>
    <w:rsid w:val="00FC626B"/>
    <w:rsid w:val="00FD5903"/>
    <w:rsid w:val="00FF5674"/>
    <w:rsid w:val="00FF733A"/>
    <w:rsid w:val="09BF5B62"/>
    <w:rsid w:val="0A7C6F3F"/>
    <w:rsid w:val="0B7C0ED5"/>
    <w:rsid w:val="0C7524DA"/>
    <w:rsid w:val="14BC550F"/>
    <w:rsid w:val="150243CF"/>
    <w:rsid w:val="183D15CD"/>
    <w:rsid w:val="1A5F2FF9"/>
    <w:rsid w:val="22C439A8"/>
    <w:rsid w:val="22F83FEB"/>
    <w:rsid w:val="232259B1"/>
    <w:rsid w:val="25F63A90"/>
    <w:rsid w:val="2EBD4E5E"/>
    <w:rsid w:val="33024A12"/>
    <w:rsid w:val="33935754"/>
    <w:rsid w:val="3A4A1DBD"/>
    <w:rsid w:val="3B6F64AD"/>
    <w:rsid w:val="3EB500A0"/>
    <w:rsid w:val="4166035D"/>
    <w:rsid w:val="42910561"/>
    <w:rsid w:val="438E1DC6"/>
    <w:rsid w:val="45C269AF"/>
    <w:rsid w:val="46EC695D"/>
    <w:rsid w:val="495F0FDE"/>
    <w:rsid w:val="4F4677F4"/>
    <w:rsid w:val="50CE37D0"/>
    <w:rsid w:val="51D41E84"/>
    <w:rsid w:val="54297CFF"/>
    <w:rsid w:val="54AD4386"/>
    <w:rsid w:val="55C5059B"/>
    <w:rsid w:val="575368DE"/>
    <w:rsid w:val="5B9B2A5D"/>
    <w:rsid w:val="5BA54263"/>
    <w:rsid w:val="61700C15"/>
    <w:rsid w:val="66567E48"/>
    <w:rsid w:val="67C52C48"/>
    <w:rsid w:val="69194A71"/>
    <w:rsid w:val="6AF21B11"/>
    <w:rsid w:val="6AFE1987"/>
    <w:rsid w:val="6E334F04"/>
    <w:rsid w:val="6E7039B0"/>
    <w:rsid w:val="6FF173C5"/>
    <w:rsid w:val="70CC398E"/>
    <w:rsid w:val="74604B19"/>
    <w:rsid w:val="784F12EE"/>
    <w:rsid w:val="790D1D8E"/>
    <w:rsid w:val="7B710DFB"/>
    <w:rsid w:val="7C8F68E3"/>
    <w:rsid w:val="7E35457F"/>
    <w:rsid w:val="FFF3AF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Plain Text"/>
    <w:basedOn w:val="1"/>
    <w:link w:val="21"/>
    <w:qFormat/>
    <w:uiPriority w:val="99"/>
    <w:rPr>
      <w:rFonts w:ascii="宋体" w:hAnsi="Courier New"/>
      <w:kern w:val="0"/>
      <w:sz w:val="20"/>
      <w:szCs w:val="20"/>
    </w:rPr>
  </w:style>
  <w:style w:type="paragraph" w:styleId="4">
    <w:name w:val="Balloon Text"/>
    <w:basedOn w:val="1"/>
    <w:link w:val="16"/>
    <w:semiHidden/>
    <w:unhideWhenUsed/>
    <w:qFormat/>
    <w:uiPriority w:val="99"/>
    <w:rPr>
      <w:sz w:val="18"/>
      <w:szCs w:val="18"/>
    </w:rPr>
  </w:style>
  <w:style w:type="paragraph" w:styleId="5">
    <w:name w:val="footer"/>
    <w:basedOn w:val="1"/>
    <w:link w:val="15"/>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8">
    <w:name w:val="annotation subject"/>
    <w:basedOn w:val="2"/>
    <w:next w:val="2"/>
    <w:link w:val="18"/>
    <w:semiHidden/>
    <w:unhideWhenUsed/>
    <w:qFormat/>
    <w:uiPriority w:val="99"/>
    <w:rPr>
      <w:b/>
      <w:bCs/>
    </w:rPr>
  </w:style>
  <w:style w:type="table" w:styleId="10">
    <w:name w:val="Table Grid"/>
    <w:basedOn w:val="9"/>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annotation reference"/>
    <w:basedOn w:val="11"/>
    <w:semiHidden/>
    <w:unhideWhenUsed/>
    <w:qFormat/>
    <w:uiPriority w:val="99"/>
    <w:rPr>
      <w:sz w:val="21"/>
      <w:szCs w:val="21"/>
    </w:rPr>
  </w:style>
  <w:style w:type="character" w:customStyle="1" w:styleId="14">
    <w:name w:val="页眉 字符"/>
    <w:basedOn w:val="11"/>
    <w:link w:val="6"/>
    <w:qFormat/>
    <w:uiPriority w:val="99"/>
    <w:rPr>
      <w:sz w:val="18"/>
      <w:szCs w:val="18"/>
    </w:rPr>
  </w:style>
  <w:style w:type="character" w:customStyle="1" w:styleId="15">
    <w:name w:val="页脚 字符"/>
    <w:basedOn w:val="11"/>
    <w:link w:val="5"/>
    <w:qFormat/>
    <w:uiPriority w:val="0"/>
    <w:rPr>
      <w:sz w:val="18"/>
      <w:szCs w:val="18"/>
    </w:rPr>
  </w:style>
  <w:style w:type="character" w:customStyle="1" w:styleId="16">
    <w:name w:val="批注框文本 字符"/>
    <w:basedOn w:val="11"/>
    <w:link w:val="4"/>
    <w:semiHidden/>
    <w:qFormat/>
    <w:uiPriority w:val="99"/>
    <w:rPr>
      <w:rFonts w:ascii="Times New Roman" w:hAnsi="Times New Roman" w:eastAsia="宋体" w:cs="Times New Roman"/>
      <w:kern w:val="2"/>
      <w:sz w:val="18"/>
      <w:szCs w:val="18"/>
    </w:rPr>
  </w:style>
  <w:style w:type="character" w:customStyle="1" w:styleId="17">
    <w:name w:val="批注文字 字符"/>
    <w:basedOn w:val="11"/>
    <w:link w:val="2"/>
    <w:semiHidden/>
    <w:qFormat/>
    <w:uiPriority w:val="99"/>
    <w:rPr>
      <w:rFonts w:ascii="Times New Roman" w:hAnsi="Times New Roman" w:eastAsia="宋体" w:cs="Times New Roman"/>
      <w:kern w:val="2"/>
      <w:sz w:val="21"/>
      <w:szCs w:val="24"/>
    </w:rPr>
  </w:style>
  <w:style w:type="character" w:customStyle="1" w:styleId="18">
    <w:name w:val="批注主题 字符"/>
    <w:basedOn w:val="17"/>
    <w:link w:val="8"/>
    <w:semiHidden/>
    <w:qFormat/>
    <w:uiPriority w:val="99"/>
    <w:rPr>
      <w:rFonts w:ascii="Times New Roman" w:hAnsi="Times New Roman" w:eastAsia="宋体" w:cs="Times New Roman"/>
      <w:b/>
      <w:bCs/>
      <w:kern w:val="2"/>
      <w:sz w:val="21"/>
      <w:szCs w:val="24"/>
    </w:rPr>
  </w:style>
  <w:style w:type="paragraph" w:customStyle="1" w:styleId="19">
    <w:name w:val="列项·"/>
    <w:qFormat/>
    <w:uiPriority w:val="99"/>
    <w:pPr>
      <w:tabs>
        <w:tab w:val="left" w:pos="840"/>
      </w:tabs>
      <w:ind w:left="420"/>
      <w:jc w:val="both"/>
    </w:pPr>
    <w:rPr>
      <w:rFonts w:ascii="宋体" w:hAnsi="Calibri" w:eastAsia="宋体" w:cs="宋体"/>
      <w:lang w:val="en-US" w:eastAsia="zh-CN" w:bidi="ar-SA"/>
    </w:rPr>
  </w:style>
  <w:style w:type="character" w:customStyle="1" w:styleId="20">
    <w:name w:val="纯文本 字符"/>
    <w:basedOn w:val="11"/>
    <w:semiHidden/>
    <w:qFormat/>
    <w:uiPriority w:val="99"/>
    <w:rPr>
      <w:rFonts w:hAnsi="Courier New" w:cs="Courier New" w:asciiTheme="minorEastAsia"/>
      <w:kern w:val="2"/>
      <w:sz w:val="21"/>
      <w:szCs w:val="24"/>
    </w:rPr>
  </w:style>
  <w:style w:type="character" w:customStyle="1" w:styleId="21">
    <w:name w:val="纯文本 字符1"/>
    <w:link w:val="3"/>
    <w:qFormat/>
    <w:uiPriority w:val="99"/>
    <w:rPr>
      <w:rFonts w:ascii="宋体" w:hAnsi="Courier New" w:eastAsia="宋体" w:cs="Times New Roman"/>
    </w:rPr>
  </w:style>
  <w:style w:type="paragraph" w:customStyle="1" w:styleId="22">
    <w:name w:val="段"/>
    <w:qFormat/>
    <w:uiPriority w:val="0"/>
    <w:pPr>
      <w:autoSpaceDE w:val="0"/>
      <w:autoSpaceDN w:val="0"/>
      <w:ind w:firstLine="420"/>
      <w:jc w:val="both"/>
    </w:pPr>
    <w:rPr>
      <w:rFonts w:ascii="Calibri" w:hAnsi="Calibri" w:eastAsia="宋体" w:cs="Times New Roman"/>
      <w:color w:val="000000"/>
      <w:lang w:val="en-US" w:eastAsia="zh-CN" w:bidi="ar-SA"/>
    </w:rPr>
  </w:style>
  <w:style w:type="paragraph" w:customStyle="1" w:styleId="23">
    <w:name w:val="二级无标题条"/>
    <w:basedOn w:val="1"/>
    <w:qFormat/>
    <w:uiPriority w:val="0"/>
    <w:rPr>
      <w:rFonts w:ascii="Calibri" w:hAnsi="Calibri"/>
      <w:szCs w:val="21"/>
    </w:rPr>
  </w:style>
  <w:style w:type="paragraph" w:customStyle="1" w:styleId="24">
    <w:name w:val="二级条标题"/>
    <w:basedOn w:val="1"/>
    <w:next w:val="22"/>
    <w:qFormat/>
    <w:uiPriority w:val="0"/>
    <w:pPr>
      <w:widowControl/>
      <w:tabs>
        <w:tab w:val="left" w:pos="1680"/>
      </w:tabs>
      <w:ind w:left="1680" w:hanging="420"/>
      <w:outlineLvl w:val="3"/>
    </w:pPr>
    <w:rPr>
      <w:rFonts w:ascii="黑体" w:hAnsi="Calibri" w:eastAsia="黑体"/>
      <w:kern w:val="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1219</Words>
  <Characters>1917</Characters>
  <Lines>170</Lines>
  <Paragraphs>227</Paragraphs>
  <TotalTime>144</TotalTime>
  <ScaleCrop>false</ScaleCrop>
  <LinksUpToDate>false</LinksUpToDate>
  <CharactersWithSpaces>2005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2020-12-11T17:52:00Z</dcterms:created>
  <dc:creator>李楠</dc:creator>
  <cp:lastModifiedBy>阳</cp:lastModifiedBy>
  <cp:lastPrinted>2020-03-09T12:05:00Z</cp:lastPrinted>
  <dcterms:modified xsi:type="dcterms:W3CDTF">2026-03-30T08:37:55Z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C0EC67167FF04256BA8838E2115C61D8</vt:lpwstr>
  </property>
  <property fmtid="{D5CDD505-2E9C-101B-9397-08002B2CF9AE}" pid="4" name="KSOTemplateDocerSaveRecord">
    <vt:lpwstr>eyJoZGlkIjoiOThhNmI2MmI4ZjU5NGViYmY4NzY2MWM2N2MxM2Y4YWMiLCJ1c2VySWQiOiIzODYwOTUwMzMifQ==</vt:lpwstr>
  </property>
</Properties>
</file>