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35BDA">
      <w:pPr>
        <w:adjustRightInd w:val="0"/>
        <w:snapToGrid w:val="0"/>
        <w:spacing w:line="440" w:lineRule="exact"/>
        <w:jc w:val="center"/>
        <w:rPr>
          <w:rFonts w:hint="eastAsia" w:ascii="Times New Roman" w:hAnsi="Times New Roman" w:eastAsia="方正小标宋简体" w:cs="方正仿宋简体"/>
          <w:sz w:val="32"/>
          <w:szCs w:val="32"/>
          <w:lang w:eastAsia="zh-CN"/>
        </w:rPr>
      </w:pPr>
      <w:bookmarkStart w:id="0" w:name="_GoBack"/>
      <w:r>
        <w:rPr>
          <w:rFonts w:hint="eastAsia" w:ascii="Times New Roman" w:hAnsi="Times New Roman" w:eastAsia="方正小标宋简体" w:cs="方正仿宋简体"/>
          <w:sz w:val="32"/>
          <w:szCs w:val="32"/>
        </w:rPr>
        <w:t>沈阳市食品接触用涂料及涂层制品</w:t>
      </w:r>
      <w:r>
        <w:rPr>
          <w:rFonts w:hint="eastAsia" w:ascii="Times New Roman" w:hAnsi="Times New Roman" w:eastAsia="方正小标宋简体" w:cs="方正仿宋简体"/>
          <w:sz w:val="32"/>
          <w:szCs w:val="32"/>
          <w:lang w:eastAsia="zh-CN"/>
        </w:rPr>
        <w:t>产品</w:t>
      </w:r>
    </w:p>
    <w:p w14:paraId="30442150">
      <w:pPr>
        <w:adjustRightInd w:val="0"/>
        <w:snapToGrid w:val="0"/>
        <w:spacing w:line="440" w:lineRule="exact"/>
        <w:jc w:val="center"/>
        <w:rPr>
          <w:rFonts w:ascii="Times New Roman" w:hAnsi="Times New Roman" w:eastAsia="方正小标宋简体" w:cs="方正仿宋简体"/>
          <w:sz w:val="32"/>
          <w:szCs w:val="32"/>
        </w:rPr>
      </w:pPr>
      <w:r>
        <w:rPr>
          <w:rFonts w:hint="eastAsia" w:ascii="Times New Roman" w:hAnsi="Times New Roman" w:eastAsia="方正小标宋简体" w:cs="方正仿宋简体"/>
          <w:sz w:val="32"/>
          <w:szCs w:val="32"/>
        </w:rPr>
        <w:t>质量监督抽查实施细则</w:t>
      </w:r>
    </w:p>
    <w:p w14:paraId="40BEB88E">
      <w:pPr>
        <w:snapToGrid w:val="0"/>
        <w:spacing w:line="440" w:lineRule="exact"/>
        <w:rPr>
          <w:rFonts w:ascii="Times New Roman" w:hAnsi="Times New Roman" w:eastAsia="黑体"/>
          <w:szCs w:val="21"/>
        </w:rPr>
      </w:pPr>
    </w:p>
    <w:p w14:paraId="6FBAE5CB">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2F5A9758">
      <w:pPr>
        <w:snapToGrid w:val="0"/>
        <w:spacing w:line="440" w:lineRule="exact"/>
        <w:ind w:firstLine="420" w:firstLineChars="200"/>
        <w:rPr>
          <w:rFonts w:ascii="Times New Roman" w:hAnsi="Times New Roman"/>
          <w:szCs w:val="21"/>
        </w:rPr>
      </w:pPr>
      <w:r>
        <w:rPr>
          <w:rFonts w:hint="eastAsia" w:ascii="Times New Roman" w:hAnsi="Times New Roman"/>
          <w:szCs w:val="21"/>
        </w:rPr>
        <w:t>以随机抽样的方式</w:t>
      </w:r>
      <w:r>
        <w:rPr>
          <w:rFonts w:hint="eastAsia" w:ascii="Times New Roman" w:hAnsi="Times New Roman"/>
          <w:color w:val="auto"/>
          <w:szCs w:val="21"/>
        </w:rPr>
        <w:t>在被抽样</w:t>
      </w:r>
      <w:r>
        <w:rPr>
          <w:rFonts w:hint="eastAsia" w:ascii="Times New Roman" w:hAnsi="Times New Roman"/>
          <w:color w:val="auto"/>
          <w:szCs w:val="21"/>
          <w:lang w:eastAsia="zh-CN"/>
        </w:rPr>
        <w:t>生产者、销售</w:t>
      </w:r>
      <w:r>
        <w:rPr>
          <w:rFonts w:hint="eastAsia" w:ascii="Times New Roman" w:hAnsi="Times New Roman"/>
          <w:color w:val="auto"/>
          <w:szCs w:val="21"/>
        </w:rPr>
        <w:t>者的待销</w:t>
      </w:r>
      <w:r>
        <w:rPr>
          <w:rFonts w:hint="eastAsia" w:ascii="Times New Roman" w:hAnsi="Times New Roman"/>
          <w:szCs w:val="21"/>
        </w:rPr>
        <w:t>产品中抽取。</w:t>
      </w:r>
    </w:p>
    <w:p w14:paraId="728DE281">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随机数一般可使用随机数表等方法产生。</w:t>
      </w:r>
    </w:p>
    <w:p w14:paraId="069C57C7">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每批次产品抽取样品</w:t>
      </w:r>
      <w:r>
        <w:rPr>
          <w:rFonts w:hint="eastAsia" w:ascii="Times New Roman" w:hAnsi="Times New Roman"/>
          <w:szCs w:val="21"/>
          <w:lang w:val="en-US" w:eastAsia="zh-CN"/>
        </w:rPr>
        <w:t>6</w:t>
      </w:r>
      <w:r>
        <w:rPr>
          <w:rFonts w:hint="eastAsia" w:ascii="Times New Roman" w:hAnsi="Times New Roman"/>
          <w:szCs w:val="21"/>
        </w:rPr>
        <w:t>件，其中</w:t>
      </w:r>
      <w:r>
        <w:rPr>
          <w:rFonts w:hint="eastAsia" w:ascii="Times New Roman" w:hAnsi="Times New Roman"/>
          <w:szCs w:val="21"/>
          <w:lang w:val="en-US" w:eastAsia="zh-CN"/>
        </w:rPr>
        <w:t>4</w:t>
      </w:r>
      <w:r>
        <w:rPr>
          <w:rFonts w:hint="eastAsia" w:ascii="Times New Roman" w:hAnsi="Times New Roman"/>
          <w:szCs w:val="21"/>
        </w:rPr>
        <w:t>件</w:t>
      </w:r>
      <w:r>
        <w:rPr>
          <w:rFonts w:hint="eastAsia" w:ascii="Times New Roman" w:hAnsi="Times New Roman"/>
          <w:szCs w:val="21"/>
          <w:lang w:eastAsia="zh-CN"/>
        </w:rPr>
        <w:t>（</w:t>
      </w:r>
      <w:r>
        <w:rPr>
          <w:rFonts w:hint="eastAsia" w:ascii="Times New Roman" w:hAnsi="Times New Roman"/>
          <w:szCs w:val="21"/>
          <w:lang w:val="en-US" w:eastAsia="zh-CN"/>
        </w:rPr>
        <w:t>每件</w:t>
      </w:r>
      <w:r>
        <w:rPr>
          <w:rFonts w:hint="eastAsia" w:ascii="Times New Roman" w:hAnsi="Times New Roman"/>
          <w:szCs w:val="21"/>
        </w:rPr>
        <w:t>产品</w:t>
      </w:r>
      <w:r>
        <w:rPr>
          <w:rFonts w:hint="eastAsia" w:ascii="Times New Roman" w:hAnsi="Times New Roman"/>
          <w:szCs w:val="21"/>
          <w:lang w:val="en-US" w:eastAsia="zh-CN"/>
        </w:rPr>
        <w:t>实际接触食品表面积</w:t>
      </w:r>
      <w:r>
        <w:rPr>
          <w:rFonts w:hint="eastAsia" w:ascii="Times New Roman" w:hAnsi="Times New Roman"/>
          <w:szCs w:val="21"/>
        </w:rPr>
        <w:t>应≥</w:t>
      </w:r>
      <w:r>
        <w:rPr>
          <w:rFonts w:hint="eastAsia" w:ascii="Times New Roman" w:hAnsi="Times New Roman"/>
          <w:szCs w:val="21"/>
          <w:lang w:val="en-US" w:eastAsia="zh-CN"/>
        </w:rPr>
        <w:t>3d</w:t>
      </w:r>
      <w:r>
        <w:rPr>
          <w:rFonts w:hint="eastAsia" w:ascii="Times New Roman" w:hAnsi="Times New Roman"/>
          <w:szCs w:val="21"/>
        </w:rPr>
        <w:t>m</w:t>
      </w:r>
      <w:r>
        <w:rPr>
          <w:rFonts w:hint="eastAsia" w:ascii="Times New Roman" w:hAnsi="Times New Roman"/>
          <w:szCs w:val="21"/>
          <w:vertAlign w:val="superscript"/>
        </w:rPr>
        <w:t>2</w:t>
      </w:r>
      <w:r>
        <w:rPr>
          <w:rFonts w:hint="eastAsia" w:ascii="Times New Roman" w:hAnsi="Times New Roman"/>
          <w:szCs w:val="21"/>
          <w:vertAlign w:val="baseline"/>
          <w:lang w:eastAsia="zh-CN"/>
        </w:rPr>
        <w:t>，</w:t>
      </w:r>
      <w:r>
        <w:rPr>
          <w:rFonts w:hint="eastAsia" w:ascii="Times New Roman" w:hAnsi="Times New Roman"/>
          <w:szCs w:val="21"/>
        </w:rPr>
        <w:t>产品</w:t>
      </w:r>
      <w:r>
        <w:rPr>
          <w:rFonts w:hint="eastAsia" w:ascii="Times New Roman" w:hAnsi="Times New Roman"/>
          <w:szCs w:val="21"/>
          <w:lang w:val="en-US" w:eastAsia="zh-CN"/>
        </w:rPr>
        <w:t>实际接触食品表面积不</w:t>
      </w:r>
      <w:r>
        <w:rPr>
          <w:rFonts w:hint="eastAsia" w:ascii="Times New Roman" w:hAnsi="Times New Roman"/>
          <w:szCs w:val="21"/>
        </w:rPr>
        <w:t>满足</w:t>
      </w:r>
      <w:r>
        <w:rPr>
          <w:rFonts w:hint="eastAsia" w:ascii="Times New Roman" w:hAnsi="Times New Roman"/>
          <w:szCs w:val="21"/>
          <w:lang w:val="en-US" w:eastAsia="zh-CN"/>
        </w:rPr>
        <w:t>要求时，增加抽样数量至满足要求</w:t>
      </w:r>
      <w:r>
        <w:rPr>
          <w:rFonts w:hint="eastAsia" w:ascii="Times New Roman" w:hAnsi="Times New Roman"/>
          <w:szCs w:val="21"/>
          <w:lang w:eastAsia="zh-CN"/>
        </w:rPr>
        <w:t>）</w:t>
      </w:r>
      <w:r>
        <w:rPr>
          <w:rFonts w:hint="eastAsia" w:ascii="Times New Roman" w:hAnsi="Times New Roman"/>
          <w:szCs w:val="21"/>
        </w:rPr>
        <w:t>作为检验样品，</w:t>
      </w:r>
      <w:r>
        <w:rPr>
          <w:rFonts w:hint="eastAsia" w:ascii="Times New Roman" w:hAnsi="Times New Roman"/>
          <w:szCs w:val="21"/>
          <w:lang w:val="en-US" w:eastAsia="zh-CN"/>
        </w:rPr>
        <w:t>2</w:t>
      </w:r>
      <w:r>
        <w:rPr>
          <w:rFonts w:hint="eastAsia" w:ascii="Times New Roman" w:hAnsi="Times New Roman"/>
          <w:szCs w:val="21"/>
        </w:rPr>
        <w:t>件作为备用样品。</w:t>
      </w:r>
    </w:p>
    <w:p w14:paraId="6D7EDCEF">
      <w:pPr>
        <w:adjustRightInd w:val="0"/>
        <w:snapToGrid w:val="0"/>
        <w:spacing w:line="440" w:lineRule="exact"/>
        <w:ind w:firstLine="420" w:firstLineChars="200"/>
        <w:rPr>
          <w:rFonts w:ascii="Times New Roman" w:hAnsi="Times New Roman"/>
          <w:szCs w:val="21"/>
        </w:rPr>
      </w:pPr>
      <w:r>
        <w:rPr>
          <w:rFonts w:hint="eastAsia" w:ascii="Times New Roman" w:hAnsi="Times New Roman"/>
          <w:szCs w:val="21"/>
        </w:rPr>
        <w:t>抽取检验样品或备用样品不足最小销售包装的整数倍时，抽取最小销售包装的整数倍，不破坏最小销售包装。</w:t>
      </w:r>
    </w:p>
    <w:p w14:paraId="65DB40F4">
      <w:pPr>
        <w:snapToGrid w:val="0"/>
        <w:spacing w:line="440" w:lineRule="exact"/>
        <w:rPr>
          <w:rFonts w:ascii="Times New Roman" w:hAnsi="Times New Roman" w:eastAsia="黑体"/>
          <w:szCs w:val="21"/>
        </w:rPr>
      </w:pPr>
      <w:r>
        <w:rPr>
          <w:rFonts w:hint="eastAsia" w:ascii="Times New Roman" w:hAnsi="Times New Roman" w:eastAsia="黑体"/>
          <w:szCs w:val="21"/>
        </w:rPr>
        <w:t>2检验依据</w:t>
      </w:r>
    </w:p>
    <w:p w14:paraId="527B57D9">
      <w:pPr>
        <w:snapToGrid w:val="0"/>
        <w:spacing w:line="440" w:lineRule="exact"/>
        <w:jc w:val="center"/>
        <w:rPr>
          <w:rFonts w:ascii="Times New Roman" w:hAnsi="Times New Roman"/>
          <w:szCs w:val="21"/>
        </w:rPr>
      </w:pPr>
    </w:p>
    <w:p w14:paraId="5ED8B0D6">
      <w:pPr>
        <w:snapToGrid w:val="0"/>
        <w:spacing w:line="440" w:lineRule="exact"/>
        <w:jc w:val="center"/>
        <w:rPr>
          <w:rFonts w:ascii="Times New Roman" w:hAnsi="Times New Roman"/>
          <w:color w:val="FF0000"/>
          <w:szCs w:val="21"/>
        </w:rPr>
      </w:pPr>
      <w:r>
        <w:rPr>
          <w:rFonts w:hint="eastAsia" w:ascii="Times New Roman" w:hAnsi="Times New Roman"/>
          <w:szCs w:val="21"/>
        </w:rPr>
        <w:t>表1</w:t>
      </w:r>
      <w:r>
        <w:rPr>
          <w:rFonts w:hint="eastAsia" w:ascii="Times New Roman" w:hAnsi="Times New Roman"/>
          <w:color w:val="auto"/>
          <w:szCs w:val="21"/>
        </w:rPr>
        <w:t>食品接触用涂料及涂层制品</w:t>
      </w:r>
    </w:p>
    <w:tbl>
      <w:tblPr>
        <w:tblStyle w:val="8"/>
        <w:tblW w:w="46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5"/>
        <w:gridCol w:w="3449"/>
        <w:gridCol w:w="3360"/>
      </w:tblGrid>
      <w:tr w14:paraId="4D7AB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4" w:type="pct"/>
            <w:tcBorders>
              <w:top w:val="single" w:color="auto" w:sz="4" w:space="0"/>
              <w:left w:val="single" w:color="auto" w:sz="4" w:space="0"/>
              <w:right w:val="single" w:color="auto" w:sz="4" w:space="0"/>
            </w:tcBorders>
            <w:noWrap/>
            <w:vAlign w:val="center"/>
          </w:tcPr>
          <w:p w14:paraId="4689D0F4">
            <w:pPr>
              <w:spacing w:line="300" w:lineRule="exact"/>
              <w:jc w:val="center"/>
              <w:rPr>
                <w:rFonts w:ascii="Times New Roman" w:hAnsi="Times New Roman"/>
                <w:szCs w:val="21"/>
              </w:rPr>
            </w:pPr>
            <w:r>
              <w:rPr>
                <w:rFonts w:ascii="Times New Roman" w:hAnsi="Times New Roman"/>
                <w:szCs w:val="21"/>
              </w:rPr>
              <w:t>序号</w:t>
            </w:r>
          </w:p>
        </w:tc>
        <w:tc>
          <w:tcPr>
            <w:tcW w:w="2120" w:type="pct"/>
            <w:tcBorders>
              <w:top w:val="single" w:color="auto" w:sz="4" w:space="0"/>
              <w:left w:val="single" w:color="auto" w:sz="4" w:space="0"/>
              <w:right w:val="single" w:color="auto" w:sz="4" w:space="0"/>
            </w:tcBorders>
            <w:noWrap/>
            <w:vAlign w:val="center"/>
          </w:tcPr>
          <w:p w14:paraId="672AA5DC">
            <w:pPr>
              <w:spacing w:line="300" w:lineRule="exact"/>
              <w:jc w:val="center"/>
              <w:rPr>
                <w:rFonts w:ascii="Times New Roman" w:hAnsi="Times New Roman"/>
                <w:szCs w:val="21"/>
              </w:rPr>
            </w:pPr>
            <w:r>
              <w:rPr>
                <w:rFonts w:ascii="Times New Roman" w:hAnsi="Times New Roman"/>
                <w:szCs w:val="21"/>
              </w:rPr>
              <w:t>检验项目</w:t>
            </w:r>
          </w:p>
        </w:tc>
        <w:tc>
          <w:tcPr>
            <w:tcW w:w="2065" w:type="pct"/>
            <w:tcBorders>
              <w:top w:val="single" w:color="auto" w:sz="4" w:space="0"/>
              <w:left w:val="single" w:color="auto" w:sz="4" w:space="0"/>
              <w:bottom w:val="single" w:color="auto" w:sz="4" w:space="0"/>
              <w:right w:val="single" w:color="auto" w:sz="4" w:space="0"/>
            </w:tcBorders>
            <w:noWrap/>
            <w:vAlign w:val="center"/>
          </w:tcPr>
          <w:p w14:paraId="29517CEF">
            <w:pPr>
              <w:spacing w:line="300" w:lineRule="exact"/>
              <w:jc w:val="center"/>
              <w:rPr>
                <w:rFonts w:ascii="Times New Roman" w:hAnsi="Times New Roman"/>
                <w:szCs w:val="21"/>
              </w:rPr>
            </w:pPr>
            <w:r>
              <w:rPr>
                <w:rFonts w:ascii="Times New Roman" w:hAnsi="Times New Roman"/>
                <w:szCs w:val="21"/>
              </w:rPr>
              <w:t>检验方法</w:t>
            </w:r>
          </w:p>
        </w:tc>
      </w:tr>
      <w:tr w14:paraId="4F10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4" w:type="pct"/>
            <w:tcBorders>
              <w:top w:val="single" w:color="auto" w:sz="4" w:space="0"/>
              <w:left w:val="single" w:color="auto" w:sz="4" w:space="0"/>
              <w:bottom w:val="single" w:color="auto" w:sz="4" w:space="0"/>
              <w:right w:val="single" w:color="auto" w:sz="4" w:space="0"/>
            </w:tcBorders>
            <w:noWrap/>
            <w:vAlign w:val="center"/>
          </w:tcPr>
          <w:p w14:paraId="1C7EA0AA">
            <w:pPr>
              <w:numPr>
                <w:ilvl w:val="0"/>
                <w:numId w:val="1"/>
              </w:numPr>
              <w:tabs>
                <w:tab w:val="clear" w:pos="0"/>
              </w:tabs>
              <w:spacing w:line="300" w:lineRule="exact"/>
              <w:jc w:val="center"/>
              <w:rPr>
                <w:rFonts w:ascii="Times New Roman" w:hAnsi="Times New Roman"/>
                <w:szCs w:val="21"/>
              </w:rPr>
            </w:pPr>
          </w:p>
        </w:tc>
        <w:tc>
          <w:tcPr>
            <w:tcW w:w="2120" w:type="pct"/>
            <w:tcBorders>
              <w:top w:val="single" w:color="auto" w:sz="4" w:space="0"/>
              <w:left w:val="single" w:color="auto" w:sz="4" w:space="0"/>
              <w:bottom w:val="single" w:color="auto" w:sz="4" w:space="0"/>
              <w:right w:val="single" w:color="auto" w:sz="4" w:space="0"/>
            </w:tcBorders>
            <w:noWrap/>
            <w:vAlign w:val="center"/>
          </w:tcPr>
          <w:p w14:paraId="5E068DC9">
            <w:pPr>
              <w:adjustRightInd w:val="0"/>
              <w:snapToGrid w:val="0"/>
              <w:spacing w:line="440" w:lineRule="exact"/>
              <w:ind w:firstLine="420" w:firstLineChars="20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感官要求</w:t>
            </w:r>
          </w:p>
        </w:tc>
        <w:tc>
          <w:tcPr>
            <w:tcW w:w="2065" w:type="pct"/>
            <w:tcBorders>
              <w:top w:val="single" w:color="auto" w:sz="4" w:space="0"/>
              <w:left w:val="single" w:color="auto" w:sz="4" w:space="0"/>
              <w:right w:val="single" w:color="auto" w:sz="4" w:space="0"/>
            </w:tcBorders>
            <w:noWrap/>
            <w:vAlign w:val="center"/>
          </w:tcPr>
          <w:p w14:paraId="00D75A43">
            <w:pPr>
              <w:adjustRightInd w:val="0"/>
              <w:snapToGrid w:val="0"/>
              <w:spacing w:line="440" w:lineRule="exact"/>
              <w:ind w:firstLine="420" w:firstLineChars="20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4806.10-2016</w:t>
            </w:r>
          </w:p>
          <w:p w14:paraId="161C8C4B">
            <w:pPr>
              <w:adjustRightInd w:val="0"/>
              <w:snapToGrid w:val="0"/>
              <w:spacing w:line="440" w:lineRule="exact"/>
              <w:ind w:firstLine="420" w:firstLineChars="20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GB 4806.10-2025</w:t>
            </w:r>
          </w:p>
        </w:tc>
      </w:tr>
      <w:tr w14:paraId="611CE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4" w:type="pct"/>
            <w:tcBorders>
              <w:top w:val="single" w:color="auto" w:sz="4" w:space="0"/>
              <w:left w:val="single" w:color="auto" w:sz="4" w:space="0"/>
              <w:bottom w:val="single" w:color="auto" w:sz="4" w:space="0"/>
              <w:right w:val="single" w:color="auto" w:sz="4" w:space="0"/>
            </w:tcBorders>
            <w:noWrap/>
            <w:vAlign w:val="center"/>
          </w:tcPr>
          <w:p w14:paraId="6B890B83">
            <w:pPr>
              <w:numPr>
                <w:ilvl w:val="0"/>
                <w:numId w:val="1"/>
              </w:numPr>
              <w:tabs>
                <w:tab w:val="clear" w:pos="0"/>
              </w:tabs>
              <w:spacing w:line="300" w:lineRule="exact"/>
              <w:jc w:val="center"/>
              <w:rPr>
                <w:rFonts w:ascii="Times New Roman" w:hAnsi="Times New Roman"/>
                <w:szCs w:val="21"/>
              </w:rPr>
            </w:pPr>
          </w:p>
        </w:tc>
        <w:tc>
          <w:tcPr>
            <w:tcW w:w="2120" w:type="pct"/>
            <w:tcBorders>
              <w:top w:val="single" w:color="auto" w:sz="4" w:space="0"/>
              <w:left w:val="single" w:color="auto" w:sz="4" w:space="0"/>
              <w:bottom w:val="single" w:color="auto" w:sz="4" w:space="0"/>
              <w:right w:val="single" w:color="auto" w:sz="4" w:space="0"/>
            </w:tcBorders>
            <w:noWrap/>
            <w:vAlign w:val="center"/>
          </w:tcPr>
          <w:p w14:paraId="1F8FADE4">
            <w:pPr>
              <w:adjustRightInd w:val="0"/>
              <w:snapToGrid w:val="0"/>
              <w:spacing w:line="440" w:lineRule="exact"/>
              <w:ind w:firstLine="420" w:firstLineChars="200"/>
              <w:jc w:val="center"/>
              <w:rPr>
                <w:rFonts w:hint="eastAsia" w:ascii="Times New Roman" w:hAnsi="Times New Roman" w:cs="Times New Roman"/>
                <w:szCs w:val="21"/>
              </w:rPr>
            </w:pPr>
            <w:r>
              <w:rPr>
                <w:rFonts w:hint="eastAsia" w:ascii="Times New Roman" w:hAnsi="Times New Roman" w:cs="Times New Roman"/>
                <w:szCs w:val="21"/>
                <w:lang w:val="en-US" w:eastAsia="zh-CN"/>
              </w:rPr>
              <w:t>标签标识</w:t>
            </w:r>
            <w:r>
              <w:rPr>
                <w:rFonts w:hint="eastAsia" w:ascii="Times New Roman" w:hAnsi="Times New Roman" w:cs="Times New Roman"/>
                <w:szCs w:val="21"/>
                <w:vertAlign w:val="superscript"/>
                <w:lang w:val="en-US" w:eastAsia="zh-CN"/>
              </w:rPr>
              <w:t>1</w:t>
            </w:r>
          </w:p>
        </w:tc>
        <w:tc>
          <w:tcPr>
            <w:tcW w:w="2065" w:type="pct"/>
            <w:tcBorders>
              <w:left w:val="single" w:color="auto" w:sz="4" w:space="0"/>
              <w:right w:val="single" w:color="auto" w:sz="4" w:space="0"/>
            </w:tcBorders>
            <w:noWrap/>
            <w:vAlign w:val="center"/>
          </w:tcPr>
          <w:p w14:paraId="2D3EDC8B">
            <w:pPr>
              <w:adjustRightInd w:val="0"/>
              <w:snapToGrid w:val="0"/>
              <w:spacing w:line="440" w:lineRule="exact"/>
              <w:ind w:firstLine="420" w:firstLineChars="20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4806.10-2016</w:t>
            </w:r>
          </w:p>
          <w:p w14:paraId="4FE7ED59">
            <w:pPr>
              <w:adjustRightInd w:val="0"/>
              <w:snapToGrid w:val="0"/>
              <w:spacing w:line="440" w:lineRule="exact"/>
              <w:ind w:firstLine="420" w:firstLineChars="20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4806.10-2025</w:t>
            </w:r>
          </w:p>
          <w:p w14:paraId="3D954758">
            <w:pPr>
              <w:adjustRightInd w:val="0"/>
              <w:snapToGrid w:val="0"/>
              <w:spacing w:line="440" w:lineRule="exact"/>
              <w:ind w:firstLine="420" w:firstLineChars="200"/>
              <w:jc w:val="center"/>
              <w:rPr>
                <w:rFonts w:hint="eastAsia" w:ascii="Times New Roman" w:hAnsi="Times New Roman" w:cs="Times New Roman"/>
                <w:szCs w:val="21"/>
              </w:rPr>
            </w:pPr>
            <w:r>
              <w:rPr>
                <w:rFonts w:hint="eastAsia" w:ascii="Times New Roman" w:hAnsi="Times New Roman" w:cs="Times New Roman"/>
                <w:szCs w:val="21"/>
                <w:lang w:val="en-US" w:eastAsia="zh-CN"/>
              </w:rPr>
              <w:t>GB 4806.1-2016</w:t>
            </w:r>
          </w:p>
        </w:tc>
      </w:tr>
      <w:tr w14:paraId="4CE5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4" w:type="pct"/>
            <w:tcBorders>
              <w:top w:val="single" w:color="auto" w:sz="4" w:space="0"/>
              <w:left w:val="single" w:color="auto" w:sz="4" w:space="0"/>
              <w:bottom w:val="single" w:color="auto" w:sz="4" w:space="0"/>
              <w:right w:val="single" w:color="auto" w:sz="4" w:space="0"/>
            </w:tcBorders>
            <w:noWrap/>
            <w:vAlign w:val="center"/>
          </w:tcPr>
          <w:p w14:paraId="07FFFB8A">
            <w:pPr>
              <w:numPr>
                <w:ilvl w:val="0"/>
                <w:numId w:val="1"/>
              </w:numPr>
              <w:tabs>
                <w:tab w:val="clear" w:pos="0"/>
              </w:tabs>
              <w:spacing w:line="300" w:lineRule="exact"/>
              <w:jc w:val="center"/>
              <w:rPr>
                <w:rFonts w:ascii="Times New Roman" w:hAnsi="Times New Roman"/>
                <w:szCs w:val="21"/>
              </w:rPr>
            </w:pPr>
          </w:p>
        </w:tc>
        <w:tc>
          <w:tcPr>
            <w:tcW w:w="2120" w:type="pct"/>
            <w:tcBorders>
              <w:top w:val="single" w:color="auto" w:sz="4" w:space="0"/>
              <w:left w:val="single" w:color="auto" w:sz="4" w:space="0"/>
              <w:bottom w:val="single" w:color="auto" w:sz="4" w:space="0"/>
              <w:right w:val="single" w:color="auto" w:sz="4" w:space="0"/>
            </w:tcBorders>
            <w:noWrap/>
            <w:vAlign w:val="center"/>
          </w:tcPr>
          <w:p w14:paraId="131A364D">
            <w:pPr>
              <w:adjustRightInd w:val="0"/>
              <w:snapToGrid w:val="0"/>
              <w:spacing w:line="440" w:lineRule="exact"/>
              <w:ind w:firstLine="420" w:firstLineChars="200"/>
              <w:jc w:val="center"/>
              <w:rPr>
                <w:rFonts w:hint="eastAsia" w:ascii="Times New Roman" w:hAnsi="Times New Roman" w:cs="Times New Roman"/>
                <w:szCs w:val="21"/>
              </w:rPr>
            </w:pPr>
            <w:r>
              <w:rPr>
                <w:rFonts w:hint="eastAsia" w:ascii="Times New Roman" w:hAnsi="Times New Roman" w:cs="Times New Roman"/>
                <w:szCs w:val="21"/>
                <w:lang w:val="en-US" w:eastAsia="zh-CN"/>
              </w:rPr>
              <w:t>总迁移量</w:t>
            </w:r>
            <w:r>
              <w:rPr>
                <w:rFonts w:hint="eastAsia" w:ascii="Times New Roman" w:hAnsi="Times New Roman" w:cs="Times New Roman"/>
                <w:szCs w:val="21"/>
                <w:vertAlign w:val="superscript"/>
                <w:lang w:val="en-US" w:eastAsia="zh-CN"/>
              </w:rPr>
              <w:t>2</w:t>
            </w:r>
          </w:p>
        </w:tc>
        <w:tc>
          <w:tcPr>
            <w:tcW w:w="2065" w:type="pct"/>
            <w:tcBorders>
              <w:left w:val="single" w:color="auto" w:sz="4" w:space="0"/>
              <w:right w:val="single" w:color="auto" w:sz="4" w:space="0"/>
            </w:tcBorders>
            <w:noWrap/>
            <w:vAlign w:val="center"/>
          </w:tcPr>
          <w:p w14:paraId="2A801913">
            <w:pPr>
              <w:adjustRightInd w:val="0"/>
              <w:snapToGrid w:val="0"/>
              <w:spacing w:line="440" w:lineRule="exact"/>
              <w:ind w:firstLine="420" w:firstLineChars="200"/>
              <w:jc w:val="center"/>
              <w:rPr>
                <w:rFonts w:hint="eastAsia" w:ascii="Times New Roman" w:hAnsi="Times New Roman" w:cs="Times New Roman"/>
                <w:szCs w:val="21"/>
              </w:rPr>
            </w:pPr>
            <w:r>
              <w:rPr>
                <w:rFonts w:hint="eastAsia" w:ascii="Times New Roman" w:hAnsi="Times New Roman" w:cs="Times New Roman"/>
                <w:szCs w:val="21"/>
                <w:lang w:val="en-US" w:eastAsia="zh-CN"/>
              </w:rPr>
              <w:t>GB 31604.8-2021</w:t>
            </w:r>
          </w:p>
        </w:tc>
      </w:tr>
      <w:tr w14:paraId="1F0C5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4" w:type="pct"/>
            <w:tcBorders>
              <w:top w:val="single" w:color="auto" w:sz="4" w:space="0"/>
              <w:left w:val="single" w:color="auto" w:sz="4" w:space="0"/>
              <w:bottom w:val="single" w:color="auto" w:sz="4" w:space="0"/>
              <w:right w:val="single" w:color="auto" w:sz="4" w:space="0"/>
            </w:tcBorders>
            <w:noWrap/>
            <w:vAlign w:val="center"/>
          </w:tcPr>
          <w:p w14:paraId="1F4E8B47">
            <w:pPr>
              <w:numPr>
                <w:ilvl w:val="0"/>
                <w:numId w:val="1"/>
              </w:numPr>
              <w:tabs>
                <w:tab w:val="clear" w:pos="0"/>
              </w:tabs>
              <w:spacing w:line="300" w:lineRule="exact"/>
              <w:jc w:val="center"/>
              <w:rPr>
                <w:rFonts w:ascii="Times New Roman" w:hAnsi="Times New Roman"/>
                <w:szCs w:val="21"/>
              </w:rPr>
            </w:pPr>
          </w:p>
        </w:tc>
        <w:tc>
          <w:tcPr>
            <w:tcW w:w="2120" w:type="pct"/>
            <w:tcBorders>
              <w:top w:val="single" w:color="auto" w:sz="4" w:space="0"/>
              <w:left w:val="single" w:color="auto" w:sz="4" w:space="0"/>
              <w:bottom w:val="single" w:color="auto" w:sz="4" w:space="0"/>
              <w:right w:val="single" w:color="auto" w:sz="4" w:space="0"/>
            </w:tcBorders>
            <w:noWrap/>
            <w:vAlign w:val="center"/>
          </w:tcPr>
          <w:p w14:paraId="0D2DD6C2">
            <w:pPr>
              <w:adjustRightInd w:val="0"/>
              <w:snapToGrid w:val="0"/>
              <w:spacing w:line="440" w:lineRule="exact"/>
              <w:ind w:firstLine="420" w:firstLineChars="200"/>
              <w:jc w:val="center"/>
              <w:rPr>
                <w:rFonts w:hint="eastAsia" w:ascii="Times New Roman" w:hAnsi="Times New Roman" w:cs="Times New Roman"/>
                <w:szCs w:val="21"/>
              </w:rPr>
            </w:pPr>
            <w:r>
              <w:rPr>
                <w:rFonts w:hint="eastAsia" w:ascii="Times New Roman" w:hAnsi="Times New Roman" w:cs="Times New Roman"/>
                <w:szCs w:val="21"/>
                <w:lang w:val="en-US" w:eastAsia="zh-CN"/>
              </w:rPr>
              <w:t>高锰酸钾消耗量</w:t>
            </w:r>
          </w:p>
        </w:tc>
        <w:tc>
          <w:tcPr>
            <w:tcW w:w="2065" w:type="pct"/>
            <w:tcBorders>
              <w:left w:val="single" w:color="auto" w:sz="4" w:space="0"/>
              <w:right w:val="single" w:color="auto" w:sz="4" w:space="0"/>
            </w:tcBorders>
            <w:noWrap/>
            <w:vAlign w:val="center"/>
          </w:tcPr>
          <w:p w14:paraId="6E7ED6A5">
            <w:pPr>
              <w:adjustRightInd w:val="0"/>
              <w:snapToGrid w:val="0"/>
              <w:spacing w:line="440" w:lineRule="exact"/>
              <w:ind w:firstLine="420" w:firstLineChars="200"/>
              <w:jc w:val="center"/>
              <w:rPr>
                <w:rFonts w:hint="eastAsia" w:ascii="Times New Roman" w:hAnsi="Times New Roman" w:cs="Times New Roman"/>
                <w:szCs w:val="21"/>
              </w:rPr>
            </w:pPr>
            <w:r>
              <w:rPr>
                <w:rFonts w:hint="eastAsia" w:ascii="Times New Roman" w:hAnsi="Times New Roman" w:cs="Times New Roman"/>
                <w:szCs w:val="21"/>
                <w:lang w:val="en-US" w:eastAsia="zh-CN"/>
              </w:rPr>
              <w:t>GB 31604.2-2016</w:t>
            </w:r>
          </w:p>
        </w:tc>
      </w:tr>
      <w:tr w14:paraId="7DD1A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4" w:type="pct"/>
            <w:tcBorders>
              <w:top w:val="single" w:color="auto" w:sz="4" w:space="0"/>
              <w:left w:val="single" w:color="auto" w:sz="4" w:space="0"/>
              <w:bottom w:val="single" w:color="auto" w:sz="4" w:space="0"/>
              <w:right w:val="single" w:color="auto" w:sz="4" w:space="0"/>
            </w:tcBorders>
            <w:noWrap/>
            <w:vAlign w:val="center"/>
          </w:tcPr>
          <w:p w14:paraId="3C8B8D91">
            <w:pPr>
              <w:numPr>
                <w:ilvl w:val="0"/>
                <w:numId w:val="1"/>
              </w:numPr>
              <w:tabs>
                <w:tab w:val="clear" w:pos="0"/>
              </w:tabs>
              <w:spacing w:line="300" w:lineRule="exact"/>
              <w:jc w:val="center"/>
              <w:rPr>
                <w:rFonts w:ascii="Times New Roman" w:hAnsi="Times New Roman"/>
                <w:szCs w:val="21"/>
              </w:rPr>
            </w:pPr>
          </w:p>
        </w:tc>
        <w:tc>
          <w:tcPr>
            <w:tcW w:w="2120" w:type="pct"/>
            <w:tcBorders>
              <w:top w:val="single" w:color="auto" w:sz="4" w:space="0"/>
              <w:left w:val="single" w:color="auto" w:sz="4" w:space="0"/>
              <w:bottom w:val="single" w:color="auto" w:sz="4" w:space="0"/>
              <w:right w:val="single" w:color="auto" w:sz="4" w:space="0"/>
            </w:tcBorders>
            <w:noWrap/>
            <w:vAlign w:val="center"/>
          </w:tcPr>
          <w:p w14:paraId="50D61B26">
            <w:pPr>
              <w:adjustRightInd w:val="0"/>
              <w:snapToGrid w:val="0"/>
              <w:spacing w:line="440" w:lineRule="exact"/>
              <w:ind w:firstLine="420" w:firstLineChars="200"/>
              <w:jc w:val="center"/>
              <w:rPr>
                <w:rFonts w:hint="eastAsia" w:ascii="Times New Roman" w:hAnsi="Times New Roman" w:cs="Times New Roman"/>
                <w:szCs w:val="21"/>
              </w:rPr>
            </w:pPr>
            <w:r>
              <w:rPr>
                <w:rFonts w:hint="eastAsia" w:ascii="Times New Roman" w:hAnsi="Times New Roman" w:cs="Times New Roman"/>
                <w:szCs w:val="21"/>
                <w:lang w:val="en-US" w:eastAsia="zh-CN"/>
              </w:rPr>
              <w:t>重金属(以Pb计)</w:t>
            </w:r>
          </w:p>
        </w:tc>
        <w:tc>
          <w:tcPr>
            <w:tcW w:w="2065" w:type="pct"/>
            <w:tcBorders>
              <w:left w:val="single" w:color="auto" w:sz="4" w:space="0"/>
              <w:right w:val="single" w:color="auto" w:sz="4" w:space="0"/>
            </w:tcBorders>
            <w:noWrap/>
            <w:vAlign w:val="center"/>
          </w:tcPr>
          <w:p w14:paraId="375BD1EF">
            <w:pPr>
              <w:adjustRightInd w:val="0"/>
              <w:snapToGrid w:val="0"/>
              <w:spacing w:line="440" w:lineRule="exact"/>
              <w:ind w:firstLine="420" w:firstLineChars="200"/>
              <w:jc w:val="center"/>
              <w:rPr>
                <w:rFonts w:hint="eastAsia" w:ascii="Times New Roman" w:hAnsi="Times New Roman" w:cs="Times New Roman"/>
                <w:szCs w:val="21"/>
              </w:rPr>
            </w:pPr>
            <w:r>
              <w:rPr>
                <w:rFonts w:hint="eastAsia" w:ascii="Times New Roman" w:hAnsi="Times New Roman" w:cs="Times New Roman"/>
                <w:szCs w:val="21"/>
                <w:lang w:val="en-US" w:eastAsia="zh-CN"/>
              </w:rPr>
              <w:t>GB 31604.9-2016</w:t>
            </w:r>
          </w:p>
        </w:tc>
      </w:tr>
      <w:tr w14:paraId="511B4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14" w:type="pct"/>
            <w:tcBorders>
              <w:top w:val="single" w:color="auto" w:sz="4" w:space="0"/>
              <w:left w:val="single" w:color="auto" w:sz="4" w:space="0"/>
              <w:bottom w:val="single" w:color="auto" w:sz="4" w:space="0"/>
              <w:right w:val="single" w:color="auto" w:sz="4" w:space="0"/>
            </w:tcBorders>
            <w:noWrap/>
            <w:vAlign w:val="center"/>
          </w:tcPr>
          <w:p w14:paraId="6D3284CC">
            <w:pPr>
              <w:numPr>
                <w:ilvl w:val="0"/>
                <w:numId w:val="1"/>
              </w:numPr>
              <w:tabs>
                <w:tab w:val="clear" w:pos="0"/>
              </w:tabs>
              <w:spacing w:line="300" w:lineRule="exact"/>
              <w:jc w:val="center"/>
              <w:rPr>
                <w:rFonts w:ascii="Times New Roman" w:hAnsi="Times New Roman"/>
                <w:szCs w:val="21"/>
              </w:rPr>
            </w:pPr>
          </w:p>
        </w:tc>
        <w:tc>
          <w:tcPr>
            <w:tcW w:w="2120" w:type="pct"/>
            <w:tcBorders>
              <w:top w:val="single" w:color="auto" w:sz="4" w:space="0"/>
              <w:left w:val="single" w:color="auto" w:sz="4" w:space="0"/>
              <w:bottom w:val="single" w:color="auto" w:sz="4" w:space="0"/>
              <w:right w:val="single" w:color="auto" w:sz="4" w:space="0"/>
            </w:tcBorders>
            <w:noWrap/>
            <w:vAlign w:val="center"/>
          </w:tcPr>
          <w:p w14:paraId="28E501E0">
            <w:pPr>
              <w:adjustRightInd w:val="0"/>
              <w:snapToGrid w:val="0"/>
              <w:spacing w:line="440" w:lineRule="exact"/>
              <w:ind w:firstLine="420" w:firstLineChars="200"/>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芳香族伯胺迁移总量</w:t>
            </w:r>
            <w:r>
              <w:rPr>
                <w:rFonts w:hint="eastAsia" w:ascii="Times New Roman" w:hAnsi="Times New Roman" w:cs="Times New Roman"/>
                <w:szCs w:val="21"/>
                <w:vertAlign w:val="superscript"/>
                <w:lang w:val="en-US" w:eastAsia="zh-CN"/>
              </w:rPr>
              <w:t>3</w:t>
            </w:r>
          </w:p>
        </w:tc>
        <w:tc>
          <w:tcPr>
            <w:tcW w:w="2065" w:type="pct"/>
            <w:tcBorders>
              <w:left w:val="single" w:color="auto" w:sz="4" w:space="0"/>
              <w:right w:val="single" w:color="auto" w:sz="4" w:space="0"/>
            </w:tcBorders>
            <w:noWrap/>
            <w:vAlign w:val="center"/>
          </w:tcPr>
          <w:p w14:paraId="32533D93">
            <w:pPr>
              <w:adjustRightInd w:val="0"/>
              <w:snapToGrid w:val="0"/>
              <w:spacing w:line="440" w:lineRule="exact"/>
              <w:ind w:firstLine="420" w:firstLineChars="200"/>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 31604.52-2021</w:t>
            </w:r>
            <w:r>
              <w:rPr>
                <w:rFonts w:hint="eastAsia" w:ascii="Times New Roman" w:hAnsi="Times New Roman" w:cs="Times New Roman"/>
                <w:szCs w:val="21"/>
                <w:lang w:val="en-US" w:eastAsia="zh-CN"/>
              </w:rPr>
              <w:tab/>
            </w:r>
          </w:p>
        </w:tc>
      </w:tr>
      <w:tr w14:paraId="47F0F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3"/>
            <w:tcBorders>
              <w:top w:val="single" w:color="auto" w:sz="4" w:space="0"/>
              <w:left w:val="single" w:color="auto" w:sz="4" w:space="0"/>
              <w:bottom w:val="single" w:color="auto" w:sz="4" w:space="0"/>
              <w:right w:val="single" w:color="auto" w:sz="4" w:space="0"/>
            </w:tcBorders>
            <w:noWrap/>
            <w:vAlign w:val="center"/>
          </w:tcPr>
          <w:p w14:paraId="5623B4BF">
            <w:pPr>
              <w:adjustRightInd w:val="0"/>
              <w:snapToGrid w:val="0"/>
              <w:spacing w:line="440" w:lineRule="exact"/>
              <w:ind w:firstLine="420" w:firstLineChars="200"/>
              <w:jc w:val="left"/>
              <w:rPr>
                <w:rFonts w:hint="eastAsia" w:ascii="Times New Roman" w:hAnsi="Times New Roman"/>
                <w:szCs w:val="21"/>
                <w:lang w:val="en-US" w:eastAsia="zh-CN"/>
              </w:rPr>
            </w:pPr>
            <w:r>
              <w:rPr>
                <w:rFonts w:hint="eastAsia" w:ascii="Times New Roman" w:hAnsi="Times New Roman" w:cs="Times New Roman"/>
                <w:szCs w:val="21"/>
                <w:lang w:val="en-US" w:eastAsia="zh-CN"/>
              </w:rPr>
              <w:t>注1：只检GB 4806.1-2016的8.2、8.3、8.4</w:t>
            </w:r>
          </w:p>
          <w:p w14:paraId="55B97766">
            <w:pPr>
              <w:adjustRightInd w:val="0"/>
              <w:snapToGrid w:val="0"/>
              <w:spacing w:line="440" w:lineRule="exact"/>
              <w:ind w:firstLine="420" w:firstLineChars="200"/>
              <w:jc w:val="left"/>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注2：食品模拟物为4%乙酸、10%乙醇</w:t>
            </w:r>
          </w:p>
          <w:p w14:paraId="01A6A0F4">
            <w:pPr>
              <w:adjustRightInd w:val="0"/>
              <w:snapToGrid w:val="0"/>
              <w:spacing w:line="440" w:lineRule="exact"/>
              <w:ind w:firstLine="420" w:firstLineChars="200"/>
              <w:jc w:val="left"/>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注3：产品执行GB 4806.10-2025标准时适用</w:t>
            </w:r>
          </w:p>
        </w:tc>
      </w:tr>
    </w:tbl>
    <w:p w14:paraId="5B9634C7">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执行企业标准、团体标准、地方标准的产品，检验项目参照上述内容执行。</w:t>
      </w:r>
    </w:p>
    <w:p w14:paraId="4104BA6A">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14:paraId="63A6E203">
      <w:pPr>
        <w:spacing w:line="440" w:lineRule="exact"/>
        <w:rPr>
          <w:rFonts w:ascii="Times New Roman" w:hAnsi="Times New Roman" w:eastAsia="黑体"/>
          <w:szCs w:val="21"/>
        </w:rPr>
      </w:pPr>
      <w:r>
        <w:rPr>
          <w:rFonts w:ascii="Times New Roman" w:hAnsi="Times New Roman" w:eastAsia="黑体"/>
          <w:szCs w:val="21"/>
        </w:rPr>
        <w:t>3 判定规则</w:t>
      </w:r>
    </w:p>
    <w:p w14:paraId="1439716C">
      <w:pPr>
        <w:snapToGrid w:val="0"/>
        <w:spacing w:line="440" w:lineRule="exact"/>
        <w:rPr>
          <w:rFonts w:ascii="Times New Roman" w:hAnsi="Times New Roman"/>
          <w:szCs w:val="21"/>
        </w:rPr>
      </w:pPr>
      <w:r>
        <w:rPr>
          <w:rFonts w:ascii="Times New Roman" w:hAnsi="Times New Roman"/>
          <w:szCs w:val="21"/>
        </w:rPr>
        <w:t>3.1依据标准</w:t>
      </w:r>
    </w:p>
    <w:p w14:paraId="536E993E">
      <w:pPr>
        <w:snapToGrid w:val="0"/>
        <w:spacing w:line="440" w:lineRule="exact"/>
        <w:ind w:firstLine="420" w:firstLineChars="200"/>
        <w:rPr>
          <w:rFonts w:hint="eastAsia" w:ascii="Times New Roman" w:hAnsi="Times New Roman"/>
          <w:szCs w:val="21"/>
        </w:rPr>
      </w:pPr>
      <w:r>
        <w:rPr>
          <w:rFonts w:hint="eastAsia" w:ascii="Times New Roman" w:hAnsi="Times New Roman"/>
          <w:szCs w:val="21"/>
        </w:rPr>
        <w:t>GB 4806.1-2016</w:t>
      </w:r>
      <w:r>
        <w:rPr>
          <w:rFonts w:hint="eastAsia" w:ascii="Times New Roman" w:hAnsi="Times New Roman"/>
          <w:szCs w:val="21"/>
        </w:rPr>
        <w:tab/>
      </w:r>
      <w:r>
        <w:rPr>
          <w:rFonts w:hint="eastAsia" w:ascii="Times New Roman" w:hAnsi="Times New Roman"/>
          <w:szCs w:val="21"/>
        </w:rPr>
        <w:t>食品安全国家标准 食品接触材料及制品通用安全要求</w:t>
      </w:r>
    </w:p>
    <w:p w14:paraId="643054EF">
      <w:pPr>
        <w:snapToGrid w:val="0"/>
        <w:spacing w:line="44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GB 4806.10-2016</w:t>
      </w:r>
      <w:r>
        <w:rPr>
          <w:rFonts w:hint="eastAsia" w:ascii="Times New Roman" w:hAnsi="Times New Roman" w:eastAsia="宋体" w:cs="Times New Roman"/>
          <w:szCs w:val="21"/>
        </w:rPr>
        <w:tab/>
      </w:r>
      <w:r>
        <w:rPr>
          <w:rFonts w:hint="eastAsia" w:ascii="Times New Roman" w:hAnsi="Times New Roman" w:eastAsia="宋体" w:cs="Times New Roman"/>
          <w:szCs w:val="21"/>
        </w:rPr>
        <w:t>食品安全国家标准 食品接触用涂料及涂层</w:t>
      </w:r>
    </w:p>
    <w:p w14:paraId="2E855381">
      <w:pPr>
        <w:snapToGrid w:val="0"/>
        <w:spacing w:line="44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GB 4806.10-2025</w:t>
      </w:r>
      <w:r>
        <w:rPr>
          <w:rFonts w:hint="eastAsia" w:ascii="Times New Roman" w:hAnsi="Times New Roman" w:eastAsia="宋体" w:cs="Times New Roman"/>
          <w:szCs w:val="21"/>
        </w:rPr>
        <w:tab/>
      </w:r>
      <w:r>
        <w:rPr>
          <w:rFonts w:hint="eastAsia" w:ascii="Times New Roman" w:hAnsi="Times New Roman" w:eastAsia="宋体" w:cs="Times New Roman"/>
          <w:szCs w:val="21"/>
        </w:rPr>
        <w:t>食品安全国家标准 食品接触材料及制品用涂料及涂层</w:t>
      </w:r>
    </w:p>
    <w:p w14:paraId="599261AE">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14:paraId="5F9C0AB6">
      <w:pPr>
        <w:snapToGrid w:val="0"/>
        <w:spacing w:line="440" w:lineRule="exact"/>
        <w:rPr>
          <w:rFonts w:hint="eastAsia" w:ascii="Times New Roman" w:hAnsi="Times New Roman"/>
          <w:color w:val="000000"/>
          <w:szCs w:val="21"/>
        </w:rPr>
      </w:pPr>
      <w:r>
        <w:rPr>
          <w:rFonts w:hint="eastAsia" w:ascii="Times New Roman" w:hAnsi="Times New Roman"/>
          <w:color w:val="000000"/>
          <w:szCs w:val="21"/>
        </w:rPr>
        <w:t>3.2判定原则</w:t>
      </w:r>
    </w:p>
    <w:p w14:paraId="0DB2DC4F">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14:paraId="3FBB6AB5">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若被检产品明示的质量要求高于本细则中检验项目依据的标准要求时，应按被检产品明示的质量要求判定。</w:t>
      </w:r>
    </w:p>
    <w:p w14:paraId="77686630">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若被检产品明示的质量要求低于本细则中检验项目依据的强制性标准要求时，应按照强制性标准要求判定。</w:t>
      </w:r>
    </w:p>
    <w:p w14:paraId="712B984C">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若被检产品明示的质量要求低于或包含细则中检验项目依据的推荐性标准要求时，应以被检产品明示的质量要求判定。</w:t>
      </w:r>
    </w:p>
    <w:p w14:paraId="4F1B39F9">
      <w:pPr>
        <w:adjustRightInd w:val="0"/>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若被检产品明示的质量要求缺少本细则中检验项目依据的强制性标准要求时，应按照强制性标准要求判定。</w:t>
      </w:r>
    </w:p>
    <w:p w14:paraId="566DC7A6">
      <w:pPr>
        <w:autoSpaceDE w:val="0"/>
        <w:autoSpaceDN w:val="0"/>
        <w:adjustRightInd w:val="0"/>
        <w:snapToGrid w:val="0"/>
        <w:spacing w:line="440" w:lineRule="exact"/>
        <w:ind w:firstLine="420" w:firstLineChars="200"/>
        <w:jc w:val="left"/>
        <w:rPr>
          <w:rFonts w:hint="eastAsia" w:ascii="Times New Roman" w:hAnsi="Times New Roman"/>
          <w:szCs w:val="21"/>
          <w:lang w:val="en-US" w:eastAsia="zh-CN"/>
        </w:rPr>
      </w:pPr>
      <w:r>
        <w:rPr>
          <w:rFonts w:ascii="Times New Roman" w:hAnsi="Times New Roman"/>
          <w:szCs w:val="21"/>
        </w:rPr>
        <w:t>若被检产品明示的质量要求缺少本细则中检验项目依据的推荐性标准要求时，该项目不参与判定。</w:t>
      </w:r>
    </w:p>
    <w:bookmarkEnd w:id="0"/>
    <w:sectPr>
      <w:headerReference r:id="rId3" w:type="first"/>
      <w:footerReference r:id="rId4" w:type="even"/>
      <w:pgSz w:w="11906" w:h="16838"/>
      <w:pgMar w:top="1701" w:right="1644" w:bottom="1701" w:left="1644"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方正仿宋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0F6D4">
    <w:pPr>
      <w:pStyle w:val="5"/>
      <w:framePr w:wrap="around" w:vAnchor="text" w:hAnchor="margin" w:xAlign="center" w:y="1"/>
      <w:rPr>
        <w:rStyle w:val="11"/>
      </w:rPr>
    </w:pPr>
    <w:r>
      <w:fldChar w:fldCharType="begin"/>
    </w:r>
    <w:r>
      <w:rPr>
        <w:rStyle w:val="11"/>
      </w:rPr>
      <w:instrText xml:space="preserve">PAGE  </w:instrText>
    </w:r>
    <w:r>
      <w:fldChar w:fldCharType="end"/>
    </w:r>
  </w:p>
  <w:p w14:paraId="2549F763">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A91CE">
    <w:pPr>
      <w:pStyle w:val="6"/>
      <w:pBdr>
        <w:bottom w:val="none" w:color="auto" w:sz="0" w:space="0"/>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decimal"/>
      <w:suff w:val="nothing"/>
      <w:lvlText w:val="%1"/>
      <w:lvlJc w:val="left"/>
      <w:pPr>
        <w:tabs>
          <w:tab w:val="left" w:pos="0"/>
        </w:tabs>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Dk2NmVlYTBlZTAwM2YyMGZkYzQzNzBhMjA3ZjVhY2UifQ=="/>
  </w:docVars>
  <w:rsids>
    <w:rsidRoot w:val="00CE7A3C"/>
    <w:rsid w:val="000858BC"/>
    <w:rsid w:val="00130352"/>
    <w:rsid w:val="00134A57"/>
    <w:rsid w:val="00152127"/>
    <w:rsid w:val="00160A40"/>
    <w:rsid w:val="00162286"/>
    <w:rsid w:val="0016744D"/>
    <w:rsid w:val="00183DF2"/>
    <w:rsid w:val="001B6955"/>
    <w:rsid w:val="001F60F3"/>
    <w:rsid w:val="00224141"/>
    <w:rsid w:val="00241965"/>
    <w:rsid w:val="002A00BD"/>
    <w:rsid w:val="003226D8"/>
    <w:rsid w:val="003458A7"/>
    <w:rsid w:val="003740BF"/>
    <w:rsid w:val="00385221"/>
    <w:rsid w:val="003B7EDA"/>
    <w:rsid w:val="003E2406"/>
    <w:rsid w:val="003E53DD"/>
    <w:rsid w:val="003F22E4"/>
    <w:rsid w:val="003F55F3"/>
    <w:rsid w:val="0041110C"/>
    <w:rsid w:val="004443C7"/>
    <w:rsid w:val="00464003"/>
    <w:rsid w:val="00464765"/>
    <w:rsid w:val="004D4755"/>
    <w:rsid w:val="004E5A68"/>
    <w:rsid w:val="004F0AB8"/>
    <w:rsid w:val="005175A2"/>
    <w:rsid w:val="0056090F"/>
    <w:rsid w:val="00564F31"/>
    <w:rsid w:val="005650CA"/>
    <w:rsid w:val="005E78DD"/>
    <w:rsid w:val="006167E6"/>
    <w:rsid w:val="0064433D"/>
    <w:rsid w:val="00651845"/>
    <w:rsid w:val="00693892"/>
    <w:rsid w:val="006A59B8"/>
    <w:rsid w:val="006A5B78"/>
    <w:rsid w:val="006A759B"/>
    <w:rsid w:val="006B626B"/>
    <w:rsid w:val="006D083D"/>
    <w:rsid w:val="00727D45"/>
    <w:rsid w:val="00732B06"/>
    <w:rsid w:val="00772FF3"/>
    <w:rsid w:val="00784947"/>
    <w:rsid w:val="00784ECC"/>
    <w:rsid w:val="0079079B"/>
    <w:rsid w:val="007923F2"/>
    <w:rsid w:val="007A264F"/>
    <w:rsid w:val="007C4DE5"/>
    <w:rsid w:val="0082105A"/>
    <w:rsid w:val="00851B1A"/>
    <w:rsid w:val="008B7736"/>
    <w:rsid w:val="008D234F"/>
    <w:rsid w:val="008E2605"/>
    <w:rsid w:val="0094651A"/>
    <w:rsid w:val="00996C5D"/>
    <w:rsid w:val="009D136D"/>
    <w:rsid w:val="009E3134"/>
    <w:rsid w:val="009E4C46"/>
    <w:rsid w:val="00A63F91"/>
    <w:rsid w:val="00A70A2F"/>
    <w:rsid w:val="00A72102"/>
    <w:rsid w:val="00A86C22"/>
    <w:rsid w:val="00A91D04"/>
    <w:rsid w:val="00AA1185"/>
    <w:rsid w:val="00AB5621"/>
    <w:rsid w:val="00AC4C6B"/>
    <w:rsid w:val="00AC5B64"/>
    <w:rsid w:val="00AD3EBB"/>
    <w:rsid w:val="00AE7467"/>
    <w:rsid w:val="00B5765C"/>
    <w:rsid w:val="00B80762"/>
    <w:rsid w:val="00B84BB3"/>
    <w:rsid w:val="00BA2BCF"/>
    <w:rsid w:val="00BB473C"/>
    <w:rsid w:val="00BB7016"/>
    <w:rsid w:val="00C124F2"/>
    <w:rsid w:val="00C2272B"/>
    <w:rsid w:val="00C367D4"/>
    <w:rsid w:val="00C765EA"/>
    <w:rsid w:val="00C93A5D"/>
    <w:rsid w:val="00C959A2"/>
    <w:rsid w:val="00CB4CFA"/>
    <w:rsid w:val="00CC3433"/>
    <w:rsid w:val="00CD0567"/>
    <w:rsid w:val="00CE5417"/>
    <w:rsid w:val="00CE7A3C"/>
    <w:rsid w:val="00D11AB1"/>
    <w:rsid w:val="00D5195C"/>
    <w:rsid w:val="00D860AC"/>
    <w:rsid w:val="00D96725"/>
    <w:rsid w:val="00DA2AEF"/>
    <w:rsid w:val="00DB4433"/>
    <w:rsid w:val="00DE27E4"/>
    <w:rsid w:val="00E26B56"/>
    <w:rsid w:val="00E326FB"/>
    <w:rsid w:val="00E771BA"/>
    <w:rsid w:val="00E77FA3"/>
    <w:rsid w:val="00E81CDA"/>
    <w:rsid w:val="00EC602B"/>
    <w:rsid w:val="00ED0F75"/>
    <w:rsid w:val="00EE291E"/>
    <w:rsid w:val="00EE3494"/>
    <w:rsid w:val="00EE6B14"/>
    <w:rsid w:val="00F1617D"/>
    <w:rsid w:val="00F343CE"/>
    <w:rsid w:val="00F35FF2"/>
    <w:rsid w:val="00F806BC"/>
    <w:rsid w:val="00FA474F"/>
    <w:rsid w:val="00FC626B"/>
    <w:rsid w:val="00FD5903"/>
    <w:rsid w:val="00FF5674"/>
    <w:rsid w:val="00FF733A"/>
    <w:rsid w:val="034D6BB0"/>
    <w:rsid w:val="09BF5B62"/>
    <w:rsid w:val="0A7C6F3F"/>
    <w:rsid w:val="0AB47515"/>
    <w:rsid w:val="0C7524DA"/>
    <w:rsid w:val="10046849"/>
    <w:rsid w:val="10193623"/>
    <w:rsid w:val="10B57B6E"/>
    <w:rsid w:val="123D18B6"/>
    <w:rsid w:val="13651CF4"/>
    <w:rsid w:val="14BC550F"/>
    <w:rsid w:val="150243CF"/>
    <w:rsid w:val="17066772"/>
    <w:rsid w:val="183D15CD"/>
    <w:rsid w:val="1A5F2FF9"/>
    <w:rsid w:val="1E9816B6"/>
    <w:rsid w:val="203C5572"/>
    <w:rsid w:val="20CE0ED9"/>
    <w:rsid w:val="22C439A8"/>
    <w:rsid w:val="22F83FEB"/>
    <w:rsid w:val="232259B1"/>
    <w:rsid w:val="23983A20"/>
    <w:rsid w:val="25F63A90"/>
    <w:rsid w:val="2EBD4E5E"/>
    <w:rsid w:val="32902492"/>
    <w:rsid w:val="32C13DE4"/>
    <w:rsid w:val="33024A12"/>
    <w:rsid w:val="33935754"/>
    <w:rsid w:val="372E4D8C"/>
    <w:rsid w:val="3A8D72B7"/>
    <w:rsid w:val="3B6F64AD"/>
    <w:rsid w:val="3BBA0580"/>
    <w:rsid w:val="3D5D5666"/>
    <w:rsid w:val="3EB500A0"/>
    <w:rsid w:val="4166035D"/>
    <w:rsid w:val="42910561"/>
    <w:rsid w:val="438E1DC6"/>
    <w:rsid w:val="45C269AF"/>
    <w:rsid w:val="46EC695D"/>
    <w:rsid w:val="48D4753F"/>
    <w:rsid w:val="495F0FDE"/>
    <w:rsid w:val="4A5046DA"/>
    <w:rsid w:val="4A722025"/>
    <w:rsid w:val="4ACB4B3E"/>
    <w:rsid w:val="4D3803E8"/>
    <w:rsid w:val="4D97427D"/>
    <w:rsid w:val="4E593C28"/>
    <w:rsid w:val="4E9E5ADF"/>
    <w:rsid w:val="4F4677F4"/>
    <w:rsid w:val="50CE37D0"/>
    <w:rsid w:val="50DD28EE"/>
    <w:rsid w:val="51D41E84"/>
    <w:rsid w:val="526A042B"/>
    <w:rsid w:val="54AD4386"/>
    <w:rsid w:val="575368DE"/>
    <w:rsid w:val="5B9B2A5D"/>
    <w:rsid w:val="5BA54263"/>
    <w:rsid w:val="5E184BA9"/>
    <w:rsid w:val="610B0DB2"/>
    <w:rsid w:val="61700C15"/>
    <w:rsid w:val="66567E48"/>
    <w:rsid w:val="67C52C48"/>
    <w:rsid w:val="69194A71"/>
    <w:rsid w:val="6AF21B11"/>
    <w:rsid w:val="6AFE1987"/>
    <w:rsid w:val="6BD9385B"/>
    <w:rsid w:val="6E7039B0"/>
    <w:rsid w:val="6FF173C5"/>
    <w:rsid w:val="70CC398E"/>
    <w:rsid w:val="74604B19"/>
    <w:rsid w:val="747F7695"/>
    <w:rsid w:val="784F12EE"/>
    <w:rsid w:val="788D1365"/>
    <w:rsid w:val="79F72C28"/>
    <w:rsid w:val="7B2F3497"/>
    <w:rsid w:val="7B710DFB"/>
    <w:rsid w:val="7C8F68E3"/>
    <w:rsid w:val="7E1B10C5"/>
    <w:rsid w:val="7E35457F"/>
    <w:rsid w:val="7F771683"/>
    <w:rsid w:val="FFF3AF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3">
    <w:name w:val="annotation text"/>
    <w:basedOn w:val="1"/>
    <w:link w:val="16"/>
    <w:semiHidden/>
    <w:unhideWhenUsed/>
    <w:qFormat/>
    <w:uiPriority w:val="99"/>
    <w:pPr>
      <w:jc w:val="left"/>
    </w:pPr>
  </w:style>
  <w:style w:type="paragraph" w:styleId="4">
    <w:name w:val="Balloon Text"/>
    <w:basedOn w:val="1"/>
    <w:link w:val="15"/>
    <w:semiHidden/>
    <w:unhideWhenUsed/>
    <w:qFormat/>
    <w:uiPriority w:val="99"/>
    <w:rPr>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annotation subject"/>
    <w:basedOn w:val="3"/>
    <w:next w:val="3"/>
    <w:link w:val="17"/>
    <w:semiHidden/>
    <w:unhideWhenUsed/>
    <w:qFormat/>
    <w:uiPriority w:val="99"/>
    <w:rPr>
      <w:b/>
      <w:bCs/>
    </w:rPr>
  </w:style>
  <w:style w:type="table" w:styleId="9">
    <w:name w:val="Table Grid"/>
    <w:basedOn w:val="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annotation reference"/>
    <w:basedOn w:val="10"/>
    <w:semiHidden/>
    <w:unhideWhenUsed/>
    <w:qFormat/>
    <w:uiPriority w:val="99"/>
    <w:rPr>
      <w:sz w:val="21"/>
      <w:szCs w:val="21"/>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0"/>
    <w:rPr>
      <w:sz w:val="18"/>
      <w:szCs w:val="18"/>
    </w:rPr>
  </w:style>
  <w:style w:type="character" w:customStyle="1" w:styleId="15">
    <w:name w:val="批注框文本 字符"/>
    <w:basedOn w:val="10"/>
    <w:link w:val="4"/>
    <w:semiHidden/>
    <w:qFormat/>
    <w:uiPriority w:val="99"/>
    <w:rPr>
      <w:rFonts w:ascii="Times New Roman" w:hAnsi="Times New Roman" w:eastAsia="宋体" w:cs="Times New Roman"/>
      <w:kern w:val="2"/>
      <w:sz w:val="18"/>
      <w:szCs w:val="18"/>
    </w:rPr>
  </w:style>
  <w:style w:type="character" w:customStyle="1" w:styleId="16">
    <w:name w:val="批注文字 字符"/>
    <w:basedOn w:val="10"/>
    <w:link w:val="3"/>
    <w:semiHidden/>
    <w:qFormat/>
    <w:uiPriority w:val="99"/>
    <w:rPr>
      <w:rFonts w:ascii="Times New Roman" w:hAnsi="Times New Roman" w:eastAsia="宋体" w:cs="Times New Roman"/>
      <w:kern w:val="2"/>
      <w:sz w:val="21"/>
      <w:szCs w:val="24"/>
    </w:rPr>
  </w:style>
  <w:style w:type="character" w:customStyle="1" w:styleId="17">
    <w:name w:val="批注主题 字符"/>
    <w:basedOn w:val="16"/>
    <w:link w:val="7"/>
    <w:semiHidden/>
    <w:qFormat/>
    <w:uiPriority w:val="99"/>
    <w:rPr>
      <w:rFonts w:ascii="Times New Roman" w:hAnsi="Times New Roman" w:eastAsia="宋体" w:cs="Times New Roman"/>
      <w:b/>
      <w:bCs/>
      <w:kern w:val="2"/>
      <w:sz w:val="21"/>
      <w:szCs w:val="24"/>
    </w:rPr>
  </w:style>
  <w:style w:type="character" w:customStyle="1" w:styleId="18">
    <w:name w:val="font4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841</Words>
  <Characters>1024</Characters>
  <Lines>131</Lines>
  <Paragraphs>159</Paragraphs>
  <TotalTime>20</TotalTime>
  <ScaleCrop>false</ScaleCrop>
  <LinksUpToDate>false</LinksUpToDate>
  <CharactersWithSpaces>1047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2020-12-11T17:52:00Z</dcterms:created>
  <dc:creator>李楠</dc:creator>
  <cp:lastModifiedBy>阳</cp:lastModifiedBy>
  <cp:lastPrinted>2020-03-09T12:05:00Z</cp:lastPrinted>
  <dcterms:modified xsi:type="dcterms:W3CDTF">2026-03-30T08:44:12Z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C0EC67167FF04256BA8838E2115C61D8</vt:lpwstr>
  </property>
  <property fmtid="{D5CDD505-2E9C-101B-9397-08002B2CF9AE}" pid="4" name="KSOTemplateDocerSaveRecord">
    <vt:lpwstr>eyJoZGlkIjoiOThhNmI2MmI4ZjU5NGViYmY4NzY2MWM2N2MxM2Y4YWMiLCJ1c2VySWQiOiIzODYwOTUwMzMifQ==</vt:lpwstr>
  </property>
</Properties>
</file>