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widowControl w:val="0"/>
        <w:jc w:val="center"/>
        <w:rPr>
          <w:rFonts w:asciiTheme="majorEastAsia" w:hAnsiTheme="majorEastAsia" w:eastAsiaTheme="majorEastAsia" w:cstheme="majorEastAsia"/>
          <w:b/>
          <w:bCs/>
          <w:sz w:val="44"/>
          <w:szCs w:val="44"/>
        </w:rPr>
      </w:pPr>
    </w:p>
    <w:p>
      <w:pPr>
        <w:widowControl w:val="0"/>
        <w:jc w:val="center"/>
        <w:rPr>
          <w:rFonts w:asciiTheme="majorEastAsia" w:hAnsiTheme="majorEastAsia" w:eastAsiaTheme="majorEastAsia" w:cstheme="majorEastAsia"/>
          <w:b/>
          <w:bCs/>
          <w:sz w:val="44"/>
          <w:szCs w:val="44"/>
        </w:rPr>
      </w:pPr>
    </w:p>
    <w:p>
      <w:pPr>
        <w:widowControl w:val="0"/>
        <w:jc w:val="center"/>
        <w:rPr>
          <w:rFonts w:hint="eastAsia" w:ascii="仿宋_GB2312" w:hAnsi="仿宋_GB2312" w:eastAsia="仿宋_GB2312" w:cs="仿宋_GB2312"/>
          <w:szCs w:val="32"/>
        </w:rPr>
      </w:pPr>
    </w:p>
    <w:p>
      <w:pPr>
        <w:widowControl w:val="0"/>
        <w:jc w:val="center"/>
        <w:rPr>
          <w:rFonts w:hint="eastAsia" w:ascii="仿宋_GB2312" w:hAnsi="仿宋_GB2312" w:eastAsia="仿宋_GB2312" w:cs="仿宋_GB2312"/>
          <w:szCs w:val="32"/>
        </w:rPr>
      </w:pPr>
    </w:p>
    <w:p>
      <w:pPr>
        <w:widowControl w:val="0"/>
        <w:jc w:val="center"/>
        <w:rPr>
          <w:rFonts w:hint="eastAsia" w:ascii="仿宋_GB2312" w:hAnsi="仿宋_GB2312" w:eastAsia="仿宋_GB2312" w:cs="仿宋_GB2312"/>
          <w:szCs w:val="32"/>
        </w:rPr>
      </w:pPr>
    </w:p>
    <w:p>
      <w:pPr>
        <w:widowControl w:val="0"/>
        <w:jc w:val="center"/>
        <w:rPr>
          <w:rFonts w:hint="eastAsia" w:ascii="仿宋_GB2312" w:hAnsi="仿宋_GB2312" w:eastAsia="仿宋_GB2312" w:cs="仿宋_GB2312"/>
          <w:szCs w:val="32"/>
        </w:rPr>
      </w:pPr>
    </w:p>
    <w:p>
      <w:pPr>
        <w:widowControl w:val="0"/>
        <w:jc w:val="center"/>
        <w:rPr>
          <w:rFonts w:hint="eastAsia" w:ascii="仿宋_GB2312" w:hAnsi="仿宋_GB2312" w:eastAsia="仿宋_GB2312" w:cs="仿宋_GB2312"/>
          <w:szCs w:val="32"/>
        </w:rPr>
      </w:pPr>
    </w:p>
    <w:p>
      <w:pPr>
        <w:widowControl w:val="0"/>
        <w:jc w:val="center"/>
        <w:rPr>
          <w:rFonts w:ascii="仿宋_GB2312" w:hAnsi="仿宋_GB2312" w:eastAsia="仿宋_GB2312" w:cs="仿宋_GB2312"/>
          <w:szCs w:val="32"/>
        </w:rPr>
      </w:pPr>
      <w:r>
        <w:rPr>
          <w:rFonts w:hint="eastAsia" w:ascii="仿宋_GB2312" w:hAnsi="仿宋_GB2312" w:eastAsia="仿宋_GB2312" w:cs="仿宋_GB2312"/>
          <w:szCs w:val="32"/>
        </w:rPr>
        <w:t>沈市监发〔2021〕</w:t>
      </w:r>
      <w:r>
        <w:rPr>
          <w:rFonts w:hint="eastAsia" w:ascii="仿宋_GB2312" w:hAnsi="仿宋_GB2312" w:eastAsia="仿宋_GB2312" w:cs="仿宋_GB2312"/>
          <w:szCs w:val="32"/>
          <w:lang w:val="en-US" w:eastAsia="zh-CN"/>
        </w:rPr>
        <w:t>12</w:t>
      </w:r>
      <w:r>
        <w:rPr>
          <w:rFonts w:hint="eastAsia" w:ascii="仿宋_GB2312" w:hAnsi="仿宋_GB2312" w:eastAsia="仿宋_GB2312" w:cs="仿宋_GB2312"/>
          <w:szCs w:val="32"/>
        </w:rPr>
        <w:t>号</w:t>
      </w:r>
    </w:p>
    <w:p>
      <w:pPr>
        <w:widowControl w:val="0"/>
        <w:jc w:val="both"/>
        <w:rPr>
          <w:rFonts w:asciiTheme="majorEastAsia" w:hAnsiTheme="majorEastAsia" w:eastAsiaTheme="majorEastAsia" w:cstheme="majorEastAsia"/>
          <w:b/>
          <w:bCs/>
          <w:sz w:val="44"/>
          <w:szCs w:val="44"/>
        </w:rPr>
      </w:pPr>
    </w:p>
    <w:p>
      <w:pPr>
        <w:widowControl w:val="0"/>
        <w:jc w:val="both"/>
        <w:rPr>
          <w:rFonts w:asciiTheme="majorEastAsia" w:hAnsiTheme="majorEastAsia" w:eastAsiaTheme="majorEastAsia" w:cstheme="majorEastAsia"/>
          <w:b/>
          <w:bCs/>
          <w:sz w:val="44"/>
          <w:szCs w:val="44"/>
        </w:rPr>
      </w:pPr>
    </w:p>
    <w:p>
      <w:pPr>
        <w:widowControl w:val="0"/>
        <w:jc w:val="center"/>
        <w:rPr>
          <w:rFonts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沈阳市市场监督管理局关于印发</w:t>
      </w:r>
    </w:p>
    <w:p>
      <w:pPr>
        <w:widowControl w:val="0"/>
        <w:jc w:val="center"/>
        <w:rPr>
          <w:rFonts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2021年食品安全建设年工作方案的通知</w:t>
      </w:r>
    </w:p>
    <w:p>
      <w:pPr>
        <w:widowControl w:val="0"/>
        <w:jc w:val="center"/>
        <w:rPr>
          <w:rFonts w:asciiTheme="majorEastAsia" w:hAnsiTheme="majorEastAsia" w:eastAsiaTheme="majorEastAsia" w:cstheme="majorEastAsia"/>
          <w:b/>
          <w:bCs/>
          <w:sz w:val="44"/>
          <w:szCs w:val="44"/>
        </w:rPr>
      </w:pPr>
    </w:p>
    <w:p>
      <w:pPr>
        <w:widowControl w:val="0"/>
        <w:rPr>
          <w:rFonts w:ascii="仿宋_GB2312" w:hAnsi="仿宋_GB2312" w:eastAsia="仿宋_GB2312" w:cs="仿宋_GB2312"/>
          <w:szCs w:val="32"/>
        </w:rPr>
      </w:pPr>
    </w:p>
    <w:p>
      <w:pPr>
        <w:widowControl w:val="0"/>
        <w:rPr>
          <w:rFonts w:ascii="仿宋_GB2312" w:hAnsi="仿宋_GB2312" w:eastAsia="仿宋_GB2312" w:cs="仿宋_GB2312"/>
          <w:szCs w:val="32"/>
        </w:rPr>
      </w:pPr>
      <w:r>
        <w:rPr>
          <w:rFonts w:hint="eastAsia" w:ascii="仿宋_GB2312" w:hAnsi="仿宋_GB2312" w:eastAsia="仿宋_GB2312" w:cs="仿宋_GB2312"/>
          <w:szCs w:val="32"/>
        </w:rPr>
        <w:t>各区、县（市）市场监督管理局，市局机关各处室、市市场监管事务服务中心：</w:t>
      </w:r>
    </w:p>
    <w:p>
      <w:pPr>
        <w:widowControl w:val="0"/>
        <w:ind w:firstLine="640" w:firstLineChars="200"/>
        <w:rPr>
          <w:rFonts w:ascii="仿宋_GB2312" w:hAnsi="仿宋_GB2312" w:eastAsia="仿宋_GB2312" w:cs="仿宋_GB2312"/>
          <w:szCs w:val="32"/>
        </w:rPr>
      </w:pPr>
      <w:r>
        <w:rPr>
          <w:rFonts w:hint="eastAsia" w:ascii="仿宋_GB2312" w:hAnsi="仿宋_GB2312" w:eastAsia="仿宋_GB2312" w:cs="仿宋_GB2312"/>
          <w:szCs w:val="32"/>
        </w:rPr>
        <w:t>现将《沈阳市市场监督管理局2021年食品安全建设年工作方案》印发给你们，请认真贯彻落实。</w:t>
      </w:r>
    </w:p>
    <w:p>
      <w:pPr>
        <w:widowControl w:val="0"/>
        <w:rPr>
          <w:rFonts w:ascii="仿宋_GB2312" w:hAnsi="仿宋_GB2312" w:eastAsia="仿宋_GB2312" w:cs="仿宋_GB2312"/>
          <w:szCs w:val="32"/>
        </w:rPr>
      </w:pPr>
    </w:p>
    <w:p>
      <w:pPr>
        <w:widowControl w:val="0"/>
        <w:rPr>
          <w:rFonts w:ascii="仿宋_GB2312" w:hAnsi="仿宋_GB2312" w:eastAsia="仿宋_GB2312" w:cs="仿宋_GB2312"/>
          <w:szCs w:val="32"/>
        </w:rPr>
      </w:pPr>
    </w:p>
    <w:p>
      <w:pPr>
        <w:widowControl w:val="0"/>
        <w:ind w:firstLine="4160" w:firstLineChars="1300"/>
        <w:rPr>
          <w:rFonts w:ascii="仿宋_GB2312" w:hAnsi="仿宋_GB2312" w:eastAsia="仿宋_GB2312" w:cs="仿宋_GB2312"/>
          <w:szCs w:val="32"/>
        </w:rPr>
      </w:pPr>
      <w:r>
        <w:rPr>
          <w:rFonts w:hint="eastAsia" w:ascii="仿宋_GB2312" w:hAnsi="仿宋_GB2312" w:eastAsia="仿宋_GB2312" w:cs="仿宋_GB2312"/>
          <w:szCs w:val="32"/>
        </w:rPr>
        <w:t>沈阳市市场监督管理局</w:t>
      </w:r>
    </w:p>
    <w:p>
      <w:pPr>
        <w:widowControl w:val="0"/>
        <w:ind w:firstLine="4480" w:firstLineChars="1400"/>
        <w:rPr>
          <w:rFonts w:ascii="仿宋_GB2312" w:hAnsi="仿宋_GB2312" w:eastAsia="仿宋_GB2312" w:cs="仿宋_GB2312"/>
          <w:szCs w:val="32"/>
        </w:rPr>
      </w:pPr>
      <w:r>
        <w:rPr>
          <w:rFonts w:hint="eastAsia" w:ascii="仿宋_GB2312" w:hAnsi="仿宋_GB2312" w:eastAsia="仿宋_GB2312" w:cs="仿宋_GB2312"/>
          <w:szCs w:val="32"/>
        </w:rPr>
        <w:t>2021年3月</w:t>
      </w:r>
      <w:r>
        <w:rPr>
          <w:rFonts w:hint="eastAsia" w:ascii="仿宋_GB2312" w:hAnsi="仿宋_GB2312" w:eastAsia="仿宋_GB2312" w:cs="仿宋_GB2312"/>
          <w:szCs w:val="32"/>
          <w:lang w:val="en-US" w:eastAsia="zh-CN"/>
        </w:rPr>
        <w:t>19</w:t>
      </w:r>
      <w:r>
        <w:rPr>
          <w:rFonts w:hint="eastAsia" w:ascii="仿宋_GB2312" w:hAnsi="仿宋_GB2312" w:eastAsia="仿宋_GB2312" w:cs="仿宋_GB2312"/>
          <w:szCs w:val="32"/>
        </w:rPr>
        <w:t>日</w:t>
      </w:r>
    </w:p>
    <w:p>
      <w:pPr>
        <w:widowControl w:val="0"/>
        <w:jc w:val="center"/>
        <w:rPr>
          <w:rFonts w:asciiTheme="majorEastAsia" w:hAnsiTheme="majorEastAsia" w:eastAsiaTheme="majorEastAsia" w:cstheme="majorEastAsia"/>
          <w:b/>
          <w:bCs/>
          <w:sz w:val="44"/>
          <w:szCs w:val="44"/>
        </w:rPr>
      </w:pPr>
    </w:p>
    <w:p>
      <w:pPr>
        <w:widowControl w:val="0"/>
        <w:jc w:val="center"/>
        <w:rPr>
          <w:rFonts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沈阳市市场监督管理局</w:t>
      </w:r>
    </w:p>
    <w:p>
      <w:pPr>
        <w:widowControl w:val="0"/>
        <w:jc w:val="center"/>
        <w:rPr>
          <w:rFonts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2021年食品安全建设年工作方案</w:t>
      </w:r>
    </w:p>
    <w:p>
      <w:pPr>
        <w:widowControl w:val="0"/>
        <w:ind w:firstLine="640" w:firstLineChars="200"/>
        <w:rPr>
          <w:rFonts w:ascii="Times New Roman" w:hAnsi="Times New Roman" w:eastAsia="仿宋_GB2312" w:cs="Times New Roman"/>
          <w:szCs w:val="32"/>
        </w:rPr>
      </w:pPr>
    </w:p>
    <w:p>
      <w:pPr>
        <w:widowControl w:val="0"/>
        <w:ind w:firstLine="640" w:firstLineChars="200"/>
        <w:rPr>
          <w:rFonts w:ascii="Times New Roman" w:hAnsi="Times New Roman" w:eastAsia="黑体" w:cs="Times New Roman"/>
          <w:szCs w:val="32"/>
        </w:rPr>
      </w:pPr>
      <w:r>
        <w:rPr>
          <w:rFonts w:hint="eastAsia" w:ascii="Times New Roman" w:hAnsi="Times New Roman" w:eastAsia="仿宋_GB2312" w:cs="Times New Roman"/>
          <w:szCs w:val="32"/>
        </w:rPr>
        <w:t>2021年，食品安全建设年工作坚持以习近平新时代中国特色社会主义思想为指导，全面落实党的十九大和十九届二中、三中、四中、五中全会精神，深入贯彻习近平总书记关于东北、辽宁振兴发展的重要讲话和指示精神，贯彻落实《中共中央国务院关于深化改革加强食品安全工作的意见》，以“四个最严”为统领，以落实食品安全主体责任为主线，深入推进食品安全放心工程建设攻坚行动和示范创建活动，统筹做好疫情防控常态化下的食品安全监管工作，不断完善食品全过程、全流程、全链条质量安全监督管理体系，坚决守住不发生区域性、系统性食品安全风险的底线，增强人民群众获得感、幸福感、安全感，以优异成绩为建党100周年作出贡献。</w:t>
      </w:r>
    </w:p>
    <w:p>
      <w:pPr>
        <w:widowControl w:val="0"/>
        <w:ind w:firstLine="640" w:firstLineChars="200"/>
        <w:rPr>
          <w:rFonts w:ascii="Times New Roman" w:hAnsi="Times New Roman" w:eastAsia="黑体" w:cs="Times New Roman"/>
          <w:szCs w:val="32"/>
        </w:rPr>
      </w:pPr>
      <w:r>
        <w:rPr>
          <w:rFonts w:ascii="Times New Roman" w:hAnsi="Times New Roman" w:eastAsia="黑体" w:cs="Times New Roman"/>
          <w:szCs w:val="32"/>
        </w:rPr>
        <w:t>一、持续抓好疫情防控常态化下的食品安全监管工作</w:t>
      </w:r>
    </w:p>
    <w:p>
      <w:pPr>
        <w:widowControl w:val="0"/>
        <w:ind w:left="640"/>
        <w:rPr>
          <w:rFonts w:ascii="Times New Roman" w:hAnsi="Times New Roman" w:eastAsia="楷体" w:cs="Times New Roman"/>
          <w:szCs w:val="32"/>
        </w:rPr>
      </w:pPr>
      <w:r>
        <w:rPr>
          <w:rFonts w:ascii="Times New Roman" w:hAnsi="Times New Roman" w:eastAsia="楷体" w:cs="Times New Roman"/>
          <w:szCs w:val="32"/>
        </w:rPr>
        <w:t>1</w:t>
      </w:r>
      <w:r>
        <w:rPr>
          <w:rFonts w:hint="eastAsia" w:ascii="Times New Roman" w:hAnsi="Times New Roman" w:eastAsia="楷体" w:cs="Times New Roman"/>
          <w:szCs w:val="32"/>
        </w:rPr>
        <w:t>.</w:t>
      </w:r>
      <w:r>
        <w:rPr>
          <w:rFonts w:ascii="Times New Roman" w:hAnsi="Times New Roman" w:eastAsia="楷体" w:cs="Times New Roman"/>
          <w:szCs w:val="32"/>
        </w:rPr>
        <w:t>强化进口冷链食品全过程、全链条追溯管理。</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深入贯彻落实“外防输入、内防反弹”的新冠肺炎疫情防控工作部署，严格落实“人物同防”要求，持续强化重点场所、重点领域、重点环节等疫情防控风险管理和监督检查。</w:t>
      </w:r>
      <w:r>
        <w:rPr>
          <w:rFonts w:ascii="Times New Roman" w:hAnsi="Times New Roman" w:eastAsia="仿宋_GB2312" w:cs="Times New Roman"/>
          <w:szCs w:val="32"/>
        </w:rPr>
        <w:t>强化源头管控，督促市场开办者、食品经营者落实冷链食品相关管理规定</w:t>
      </w:r>
      <w:r>
        <w:rPr>
          <w:rFonts w:hint="eastAsia" w:ascii="Times New Roman" w:hAnsi="Times New Roman" w:eastAsia="仿宋_GB2312" w:cs="Times New Roman"/>
          <w:szCs w:val="32"/>
        </w:rPr>
        <w:t>，督促食品生产经营单位采购进口冷链食品严格索取</w:t>
      </w:r>
      <w:r>
        <w:rPr>
          <w:rFonts w:hint="eastAsia" w:ascii="仿宋_GB2312" w:hAnsi="仿宋_GB2312" w:eastAsia="仿宋_GB2312" w:cs="仿宋_GB2312"/>
          <w:szCs w:val="32"/>
        </w:rPr>
        <w:t>入境货物检验检疫证明、核酸检测合格证明、消毒证明</w:t>
      </w:r>
      <w:r>
        <w:rPr>
          <w:rFonts w:hint="eastAsia" w:ascii="Times New Roman" w:hAnsi="Times New Roman" w:eastAsia="仿宋_GB2312" w:cs="Times New Roman"/>
          <w:szCs w:val="32"/>
        </w:rPr>
        <w:t>，经定点冷库加盖出库专用章，并将相关食品信息录入省追溯系统生成追溯码。持续做好农贸市场常态化防控工作，督促主办方落实扫码进场、人员测温、佩戴口罩、消毒通风等疫情防控措施。完善应急响应机制，发现涉疫食品，做好双向追根溯源、应急处置等工作，防止疫情通过进口冷链食品输入风险、切断传播链条。</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责任分工：</w:t>
      </w:r>
      <w:r>
        <w:rPr>
          <w:rFonts w:ascii="Times New Roman" w:hAnsi="Times New Roman" w:eastAsia="楷体" w:cs="Times New Roman"/>
          <w:szCs w:val="32"/>
        </w:rPr>
        <w:t>各区</w:t>
      </w:r>
      <w:r>
        <w:rPr>
          <w:rFonts w:hint="eastAsia" w:ascii="Times New Roman" w:hAnsi="Times New Roman" w:eastAsia="楷体" w:cs="Times New Roman"/>
          <w:szCs w:val="32"/>
        </w:rPr>
        <w:t>、县（市）</w:t>
      </w:r>
      <w:r>
        <w:rPr>
          <w:rFonts w:ascii="Times New Roman" w:hAnsi="Times New Roman" w:eastAsia="楷体" w:cs="Times New Roman"/>
          <w:szCs w:val="32"/>
        </w:rPr>
        <w:t>市场监管局，食品</w:t>
      </w:r>
      <w:r>
        <w:rPr>
          <w:rFonts w:hint="eastAsia" w:ascii="Times New Roman" w:hAnsi="Times New Roman" w:eastAsia="楷体" w:cs="Times New Roman"/>
          <w:szCs w:val="32"/>
        </w:rPr>
        <w:t>流通处、</w:t>
      </w:r>
      <w:r>
        <w:rPr>
          <w:rFonts w:ascii="Times New Roman" w:hAnsi="Times New Roman" w:eastAsia="楷体" w:cs="Times New Roman"/>
          <w:szCs w:val="32"/>
        </w:rPr>
        <w:t>食品生产处、</w:t>
      </w:r>
      <w:r>
        <w:rPr>
          <w:rFonts w:hint="eastAsia" w:ascii="Times New Roman" w:hAnsi="Times New Roman" w:eastAsia="楷体" w:cs="Times New Roman"/>
          <w:szCs w:val="32"/>
        </w:rPr>
        <w:t>食品餐饮处</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2.</w:t>
      </w:r>
      <w:r>
        <w:rPr>
          <w:rFonts w:ascii="Times New Roman" w:hAnsi="Times New Roman" w:eastAsia="楷体" w:cs="Times New Roman"/>
          <w:szCs w:val="32"/>
        </w:rPr>
        <w:t>严格做好各类冷库食品安全监督管理。</w:t>
      </w:r>
    </w:p>
    <w:p>
      <w:pPr>
        <w:widowControl w:val="0"/>
        <w:ind w:firstLine="640" w:firstLineChars="200"/>
        <w:rPr>
          <w:rFonts w:hint="eastAsia" w:ascii="仿宋_GB2312" w:hAnsi="仿宋_GB2312" w:eastAsia="仿宋_GB2312" w:cs="仿宋_GB2312"/>
          <w:szCs w:val="32"/>
        </w:rPr>
      </w:pPr>
      <w:r>
        <w:rPr>
          <w:rFonts w:hint="eastAsia" w:ascii="仿宋_GB2312" w:hAnsi="宋体" w:eastAsia="仿宋_GB2312" w:cs="仿宋_GB2312"/>
        </w:rPr>
        <w:t>全面落实5家首站定点冷库</w:t>
      </w:r>
      <w:r>
        <w:rPr>
          <w:rFonts w:hint="eastAsia" w:ascii="仿宋_GB2312" w:hAnsi="仿宋" w:eastAsia="仿宋_GB2312" w:cs="仿宋_GB2312"/>
        </w:rPr>
        <w:t>“人物同防”、“专库存储、专区管理、专班监管、专队作业、批批检测、件件消毒”等工作要求，实行全链条、全过程监管。</w:t>
      </w:r>
      <w:r>
        <w:rPr>
          <w:rFonts w:hint="eastAsia" w:ascii="仿宋_GB2312" w:hAnsi="仿宋_GB2312" w:eastAsia="仿宋_GB2312" w:cs="仿宋_GB2312"/>
          <w:szCs w:val="32"/>
        </w:rPr>
        <w:t>利用“沈阳食药监管”APP对进口冷链食品自建冷库和生产经营单位终端开展监督检查，</w:t>
      </w:r>
      <w:r>
        <w:rPr>
          <w:rFonts w:hint="eastAsia" w:ascii="仿宋_GB2312" w:hAnsi="宋体" w:eastAsia="仿宋_GB2312" w:cs="仿宋_GB2312"/>
        </w:rPr>
        <w:t>加强第三方冷库和企业自备自用冷库的库存货品安全监管，</w:t>
      </w:r>
      <w:r>
        <w:rPr>
          <w:rFonts w:hint="eastAsia" w:ascii="Times New Roman" w:hAnsi="Times New Roman" w:eastAsia="仿宋_GB2312" w:cs="Times New Roman"/>
          <w:szCs w:val="32"/>
        </w:rPr>
        <w:t>督促</w:t>
      </w:r>
      <w:r>
        <w:rPr>
          <w:rFonts w:hint="eastAsia" w:ascii="仿宋_GB2312" w:hAnsi="仿宋" w:eastAsia="仿宋_GB2312" w:cs="仿宋_GB2312"/>
        </w:rPr>
        <w:t>定点冷库、第三方冷库、</w:t>
      </w:r>
      <w:r>
        <w:rPr>
          <w:rFonts w:hint="eastAsia" w:ascii="Times New Roman" w:hAnsi="Times New Roman" w:eastAsia="仿宋_GB2312" w:cs="Times New Roman"/>
          <w:szCs w:val="32"/>
        </w:rPr>
        <w:t>自备自用冷库的食品生产经营企业</w:t>
      </w:r>
      <w:r>
        <w:rPr>
          <w:rFonts w:hint="eastAsia" w:ascii="仿宋_GB2312" w:hAnsi="仿宋_GB2312" w:eastAsia="仿宋_GB2312" w:cs="仿宋_GB2312"/>
          <w:szCs w:val="32"/>
        </w:rPr>
        <w:t>真实、准确录入进口冷链食品信息，</w:t>
      </w:r>
      <w:r>
        <w:rPr>
          <w:rFonts w:hint="eastAsia" w:ascii="仿宋_GB2312" w:hAnsi="宋体" w:eastAsia="仿宋_GB2312" w:cs="仿宋_GB2312"/>
        </w:rPr>
        <w:t>对第三方冷库开展全覆盖信息备案管理</w:t>
      </w:r>
      <w:r>
        <w:rPr>
          <w:rFonts w:hint="eastAsia" w:ascii="仿宋_GB2312" w:hAnsi="仿宋" w:eastAsia="仿宋_GB2312" w:cs="仿宋_GB2312"/>
        </w:rPr>
        <w:t>，确保所有进入我市的进口冷链食品溯源可查，</w:t>
      </w:r>
      <w:r>
        <w:rPr>
          <w:rFonts w:hint="eastAsia" w:ascii="仿宋_GB2312" w:hAnsi="仿宋_GB2312" w:eastAsia="仿宋_GB2312" w:cs="仿宋_GB2312"/>
          <w:szCs w:val="32"/>
        </w:rPr>
        <w:t>切实保障进口冷链食品“双向溯源”。</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责任分工：各区、县（市）市场监管局</w:t>
      </w:r>
      <w:r>
        <w:rPr>
          <w:rFonts w:ascii="Times New Roman" w:hAnsi="Times New Roman" w:eastAsia="楷体" w:cs="Times New Roman"/>
          <w:szCs w:val="32"/>
        </w:rPr>
        <w:t>，</w:t>
      </w:r>
      <w:r>
        <w:rPr>
          <w:rFonts w:hint="eastAsia" w:ascii="Times New Roman" w:hAnsi="Times New Roman" w:eastAsia="楷体" w:cs="Times New Roman"/>
          <w:szCs w:val="32"/>
        </w:rPr>
        <w:t>食品流通处、食品餐饮处、食品生产处、应急处</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3.</w:t>
      </w:r>
      <w:r>
        <w:rPr>
          <w:rFonts w:ascii="Times New Roman" w:hAnsi="Times New Roman" w:eastAsia="楷体" w:cs="Times New Roman"/>
          <w:szCs w:val="32"/>
        </w:rPr>
        <w:t>切实加强进口非冷链食品监督管理。</w:t>
      </w:r>
    </w:p>
    <w:p>
      <w:pPr>
        <w:widowControl w:val="0"/>
        <w:ind w:firstLine="640" w:firstLineChars="200"/>
        <w:rPr>
          <w:rFonts w:ascii="Times New Roman" w:hAnsi="Times New Roman" w:eastAsia="仿宋_GB2312" w:cs="Times New Roman"/>
          <w:szCs w:val="32"/>
        </w:rPr>
      </w:pPr>
      <w:r>
        <w:rPr>
          <w:rFonts w:ascii="Times New Roman" w:hAnsi="Times New Roman" w:eastAsia="仿宋_GB2312" w:cs="Times New Roman"/>
          <w:szCs w:val="32"/>
        </w:rPr>
        <w:t>加强进口非冷链食品的全流程管控，督促进口非冷链食品生产经营单位严格落实进货查验要求，抽查进口非冷链食品的入境货物检验检疫证明、核酸检测合格证明和消毒证明，禁止贮存、加工和销售证明不全、货证不符和无证明的进口非冷链食品</w:t>
      </w:r>
      <w:r>
        <w:rPr>
          <w:rFonts w:hint="eastAsia"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责任分工：各区、县（市）市场监管局</w:t>
      </w:r>
      <w:r>
        <w:rPr>
          <w:rFonts w:ascii="Times New Roman" w:hAnsi="Times New Roman" w:eastAsia="楷体" w:cs="Times New Roman"/>
          <w:szCs w:val="32"/>
        </w:rPr>
        <w:t>，</w:t>
      </w:r>
      <w:r>
        <w:rPr>
          <w:rFonts w:hint="eastAsia" w:ascii="Times New Roman" w:hAnsi="Times New Roman" w:eastAsia="楷体" w:cs="Times New Roman"/>
          <w:szCs w:val="32"/>
        </w:rPr>
        <w:t>食品流通处、</w:t>
      </w:r>
      <w:r>
        <w:rPr>
          <w:rFonts w:ascii="Times New Roman" w:hAnsi="Times New Roman" w:eastAsia="楷体" w:cs="Times New Roman"/>
          <w:szCs w:val="32"/>
        </w:rPr>
        <w:t>食品生产处、</w:t>
      </w:r>
      <w:r>
        <w:rPr>
          <w:rFonts w:hint="eastAsia" w:ascii="Times New Roman" w:hAnsi="Times New Roman" w:eastAsia="楷体" w:cs="Times New Roman"/>
          <w:szCs w:val="32"/>
        </w:rPr>
        <w:t>食品餐饮处</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firstLine="640" w:firstLineChars="200"/>
        <w:rPr>
          <w:rFonts w:ascii="Times New Roman" w:hAnsi="Times New Roman" w:eastAsia="黑体" w:cs="Times New Roman"/>
          <w:szCs w:val="32"/>
        </w:rPr>
      </w:pPr>
      <w:r>
        <w:rPr>
          <w:rFonts w:ascii="Times New Roman" w:hAnsi="Times New Roman" w:eastAsia="黑体" w:cs="Times New Roman"/>
          <w:szCs w:val="32"/>
        </w:rPr>
        <w:t>二、深入推进食品安全放心工程行动和示范创建活动</w:t>
      </w:r>
    </w:p>
    <w:p>
      <w:pPr>
        <w:widowControl w:val="0"/>
        <w:ind w:firstLine="640" w:firstLineChars="200"/>
        <w:rPr>
          <w:rFonts w:ascii="Times New Roman" w:hAnsi="Times New Roman" w:eastAsia="楷体" w:cs="Times New Roman"/>
          <w:szCs w:val="32"/>
        </w:rPr>
      </w:pPr>
      <w:r>
        <w:rPr>
          <w:rFonts w:ascii="Times New Roman" w:hAnsi="Times New Roman" w:eastAsia="楷体" w:cs="Times New Roman"/>
          <w:szCs w:val="32"/>
        </w:rPr>
        <w:t>1</w:t>
      </w:r>
      <w:r>
        <w:rPr>
          <w:rFonts w:hint="eastAsia" w:ascii="Times New Roman" w:hAnsi="Times New Roman" w:eastAsia="楷体" w:cs="Times New Roman"/>
          <w:szCs w:val="32"/>
        </w:rPr>
        <w:t>.</w:t>
      </w:r>
      <w:r>
        <w:rPr>
          <w:rFonts w:ascii="Times New Roman" w:hAnsi="Times New Roman" w:eastAsia="楷体" w:cs="Times New Roman"/>
          <w:szCs w:val="32"/>
        </w:rPr>
        <w:t>继续强化食品安全放心工程建设攻坚行动。</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一是</w:t>
      </w:r>
      <w:r>
        <w:rPr>
          <w:rFonts w:ascii="Times New Roman" w:hAnsi="Times New Roman" w:eastAsia="仿宋_GB2312" w:cs="Times New Roman"/>
          <w:szCs w:val="32"/>
        </w:rPr>
        <w:t>推进校园食品安全守护行动，严防严控校园食品安全风险。</w:t>
      </w:r>
      <w:r>
        <w:rPr>
          <w:rFonts w:hint="eastAsia" w:ascii="Times New Roman" w:hAnsi="Times New Roman" w:eastAsia="仿宋_GB2312" w:cs="Times New Roman"/>
          <w:szCs w:val="32"/>
        </w:rPr>
        <w:t>学生集体用餐配送单位“互联网+明厨亮灶”覆盖率达到100%，学校食堂及校园集体用餐配送单位（中央厨房）定期开展食品安全自查，自查报告率达到100%。开展学校食堂、校园周边食品销售单位安全专项检查。二是</w:t>
      </w:r>
      <w:r>
        <w:rPr>
          <w:rFonts w:ascii="Times New Roman" w:hAnsi="Times New Roman" w:eastAsia="仿宋_GB2312" w:cs="Times New Roman"/>
          <w:szCs w:val="32"/>
        </w:rPr>
        <w:t>深化餐饮质量安全提升行动，全面落实餐饮服务提供者食品安全主体责任。</w:t>
      </w:r>
      <w:r>
        <w:rPr>
          <w:rFonts w:hint="eastAsia" w:ascii="Times New Roman" w:hAnsi="Times New Roman" w:eastAsia="仿宋_GB2312" w:cs="Times New Roman"/>
          <w:szCs w:val="32"/>
        </w:rPr>
        <w:t>改善小餐饮后厨加工卫生环境，开展300户小餐饮明厨亮灶工作。三是</w:t>
      </w:r>
      <w:r>
        <w:rPr>
          <w:rFonts w:ascii="Times New Roman" w:hAnsi="Times New Roman" w:eastAsia="仿宋_GB2312" w:cs="Times New Roman"/>
          <w:szCs w:val="32"/>
        </w:rPr>
        <w:t>深入开展婴幼儿配方乳粉质量安全提升行动，进一步完善从生产源头到消费全过程监管体系。</w:t>
      </w:r>
      <w:r>
        <w:rPr>
          <w:rFonts w:hint="eastAsia" w:ascii="Times New Roman" w:hAnsi="Times New Roman" w:eastAsia="仿宋_GB2312" w:cs="Times New Roman"/>
          <w:szCs w:val="32"/>
        </w:rPr>
        <w:t>婴幼儿配方乳粉生产企业全面推行良好生产规范、危害分析和关键控制点（HAPPC）体系并有效运行，自查报告率实现100%。推进婴幼儿配方乳粉生产企业建立覆盖采购、生产、销售全过程的质量安全追溯体系，督促经营企业落实索证索票和进货查验记录制度，确保产品来源可查、去向可追、风险可控。四是</w:t>
      </w:r>
      <w:r>
        <w:rPr>
          <w:rFonts w:ascii="Times New Roman" w:hAnsi="Times New Roman" w:eastAsia="仿宋_GB2312" w:cs="Times New Roman"/>
          <w:szCs w:val="32"/>
        </w:rPr>
        <w:t>大力推进农村假冒伪劣食品整治行动，出台农村食品风险隐患清单，推进农村食品经营店规范化建设试点，</w:t>
      </w:r>
      <w:r>
        <w:rPr>
          <w:rFonts w:hint="eastAsia" w:ascii="仿宋" w:hAnsi="仿宋" w:cs="仿宋"/>
          <w:snapToGrid w:val="0"/>
          <w:kern w:val="0"/>
          <w:szCs w:val="32"/>
        </w:rPr>
        <w:t>督促农村食品生产经</w:t>
      </w:r>
      <w:r>
        <w:rPr>
          <w:rFonts w:hint="eastAsia" w:ascii="Times New Roman" w:hAnsi="Times New Roman" w:eastAsia="仿宋_GB2312" w:cs="Times New Roman"/>
          <w:szCs w:val="32"/>
        </w:rPr>
        <w:t>营者全面落实食品安全主体责任，合法合规开展生产经营活动，</w:t>
      </w:r>
      <w:r>
        <w:rPr>
          <w:rFonts w:ascii="Times New Roman" w:hAnsi="Times New Roman" w:eastAsia="仿宋_GB2312" w:cs="Times New Roman"/>
          <w:szCs w:val="32"/>
        </w:rPr>
        <w:t>全面落实整治工作各项措施任务</w:t>
      </w:r>
      <w:r>
        <w:rPr>
          <w:rFonts w:hint="eastAsia" w:ascii="Times New Roman" w:hAnsi="Times New Roman" w:eastAsia="仿宋_GB2312" w:cs="Times New Roman"/>
          <w:szCs w:val="32"/>
        </w:rPr>
        <w:t>，</w:t>
      </w:r>
      <w:r>
        <w:rPr>
          <w:rFonts w:ascii="Times New Roman" w:hAnsi="Times New Roman" w:eastAsia="仿宋_GB2312" w:cs="Times New Roman"/>
          <w:szCs w:val="32"/>
        </w:rPr>
        <w:t>有效遏制</w:t>
      </w:r>
      <w:r>
        <w:rPr>
          <w:rFonts w:hint="eastAsia" w:ascii="Times New Roman" w:hAnsi="Times New Roman" w:eastAsia="仿宋_GB2312" w:cs="Times New Roman"/>
          <w:szCs w:val="32"/>
        </w:rPr>
        <w:t>农村生产经营“三无”食品、“山寨”食品、商标</w:t>
      </w:r>
      <w:r>
        <w:rPr>
          <w:rFonts w:ascii="Times New Roman" w:hAnsi="Times New Roman" w:eastAsia="仿宋_GB2312" w:cs="Times New Roman"/>
          <w:szCs w:val="32"/>
        </w:rPr>
        <w:t>侵权食品、</w:t>
      </w:r>
      <w:r>
        <w:rPr>
          <w:rFonts w:hint="eastAsia" w:ascii="Times New Roman" w:hAnsi="Times New Roman" w:eastAsia="仿宋_GB2312" w:cs="Times New Roman"/>
          <w:szCs w:val="32"/>
        </w:rPr>
        <w:t>劣质食品、过期食品等突出问题，有效治理“黑工厂”“黑窝点”“黑作坊”等违法行为</w:t>
      </w:r>
      <w:r>
        <w:rPr>
          <w:rFonts w:ascii="Times New Roman" w:hAnsi="Times New Roman" w:eastAsia="仿宋_GB2312" w:cs="Times New Roman"/>
          <w:szCs w:val="32"/>
        </w:rPr>
        <w:t>。五</w:t>
      </w:r>
      <w:r>
        <w:rPr>
          <w:rFonts w:hint="eastAsia" w:ascii="Times New Roman" w:hAnsi="Times New Roman" w:eastAsia="仿宋_GB2312" w:cs="Times New Roman"/>
          <w:szCs w:val="32"/>
        </w:rPr>
        <w:t>是</w:t>
      </w:r>
      <w:r>
        <w:rPr>
          <w:rFonts w:ascii="Times New Roman" w:hAnsi="Times New Roman" w:eastAsia="仿宋_GB2312" w:cs="Times New Roman"/>
          <w:szCs w:val="32"/>
        </w:rPr>
        <w:t>持续加大保健食品行业专项清理整治力度，严厉打击违法生产经营、违法宣传营销和欺诈误导消费保健食品行为</w:t>
      </w:r>
      <w:r>
        <w:rPr>
          <w:rFonts w:hint="eastAsia" w:ascii="Times New Roman" w:hAnsi="Times New Roman" w:eastAsia="仿宋_GB2312" w:cs="Times New Roman"/>
          <w:szCs w:val="32"/>
        </w:rPr>
        <w:t>，深化保健食品标签标识、虚假宣传、网络食品违法违规经营等问题专项整治，打击假冒伪劣、非法添加等违法行为，持续开展保健食品“五进”宣传活动。</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责任分工：各区、县（市）市场监管局</w:t>
      </w:r>
      <w:r>
        <w:rPr>
          <w:rFonts w:ascii="Times New Roman" w:hAnsi="Times New Roman" w:eastAsia="楷体" w:cs="Times New Roman"/>
          <w:szCs w:val="32"/>
        </w:rPr>
        <w:t>，食品生产处、</w:t>
      </w:r>
      <w:r>
        <w:rPr>
          <w:rFonts w:hint="eastAsia" w:ascii="Times New Roman" w:hAnsi="Times New Roman" w:eastAsia="楷体" w:cs="Times New Roman"/>
          <w:szCs w:val="32"/>
        </w:rPr>
        <w:t>食品流通处、食品餐饮处</w:t>
      </w:r>
      <w:r>
        <w:rPr>
          <w:rFonts w:ascii="Times New Roman" w:hAnsi="Times New Roman" w:eastAsia="楷体" w:cs="Times New Roman"/>
          <w:szCs w:val="32"/>
        </w:rPr>
        <w:t>、食品抽检处、</w:t>
      </w:r>
      <w:r>
        <w:rPr>
          <w:rFonts w:hint="eastAsia" w:ascii="Times New Roman" w:hAnsi="Times New Roman" w:eastAsia="楷体" w:cs="Times New Roman"/>
          <w:szCs w:val="32"/>
        </w:rPr>
        <w:t>价监竞争处、广告处、网监处、</w:t>
      </w:r>
      <w:r>
        <w:rPr>
          <w:rFonts w:ascii="Times New Roman" w:hAnsi="Times New Roman" w:eastAsia="楷体" w:cs="Times New Roman"/>
          <w:szCs w:val="32"/>
        </w:rPr>
        <w:t>执法稽查局</w:t>
      </w:r>
      <w:r>
        <w:rPr>
          <w:rFonts w:hint="eastAsia" w:ascii="Times New Roman" w:hAnsi="Times New Roman" w:eastAsia="楷体" w:cs="Times New Roman"/>
          <w:szCs w:val="32"/>
        </w:rPr>
        <w:t>，市场中心</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2.</w:t>
      </w:r>
      <w:r>
        <w:rPr>
          <w:rFonts w:ascii="Times New Roman" w:hAnsi="Times New Roman" w:eastAsia="楷体" w:cs="Times New Roman"/>
          <w:szCs w:val="32"/>
        </w:rPr>
        <w:t>巩固和扩大食品安全示范创建成果。</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加强食品安全示范单位动态监督管理，强化示范引领效应。不断扩大各类示范创建工作的覆盖面，进一步扩大食品生产小作坊规范化管理示范创建范围，在全市开展食品生产企业主体责任示范创建活动。开展放心肉菜示范超市创建工作，全年创建不少于2家。开展保健食品诚信经营示范店创建，深化保健食品经营规范化管理，持续开展创建企业“五公示”活动和在线学习考试活动，继续推进“一店一码”社会监督评价机制。继续创建餐饮质量安全示范街（区）1条、餐饮质量安全示范店（食堂）50家。</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责任分工：各区、县（市）市场监管局</w:t>
      </w:r>
      <w:r>
        <w:rPr>
          <w:rFonts w:ascii="Times New Roman" w:hAnsi="Times New Roman" w:eastAsia="楷体" w:cs="Times New Roman"/>
          <w:szCs w:val="32"/>
        </w:rPr>
        <w:t>，食品生产处、</w:t>
      </w:r>
      <w:r>
        <w:rPr>
          <w:rFonts w:hint="eastAsia" w:ascii="Times New Roman" w:hAnsi="Times New Roman" w:eastAsia="楷体" w:cs="Times New Roman"/>
          <w:szCs w:val="32"/>
        </w:rPr>
        <w:t>食品流通处、食品餐饮处</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3.</w:t>
      </w:r>
      <w:r>
        <w:rPr>
          <w:rFonts w:ascii="Times New Roman" w:hAnsi="Times New Roman" w:eastAsia="楷体" w:cs="Times New Roman"/>
          <w:szCs w:val="32"/>
        </w:rPr>
        <w:t>持续推进食品安全示范城市创建。</w:t>
      </w:r>
    </w:p>
    <w:p>
      <w:pPr>
        <w:widowControl w:val="0"/>
        <w:ind w:firstLine="640" w:firstLineChars="200"/>
        <w:rPr>
          <w:rFonts w:ascii="仿宋_GB2312" w:hAnsi="仿宋" w:eastAsia="仿宋_GB2312"/>
          <w:szCs w:val="32"/>
        </w:rPr>
      </w:pPr>
      <w:r>
        <w:rPr>
          <w:rFonts w:hint="eastAsia" w:ascii="仿宋_GB2312" w:hAnsi="仿宋" w:eastAsia="仿宋_GB2312"/>
          <w:szCs w:val="32"/>
        </w:rPr>
        <w:t>启动我市创城评价验收准备工作，调整沈阳市创建国家食品安全示范城市工作领导小组成员及责任分工，组建创城工作指挥部，召开创城工作动员部署会议，开展创城验收“百日攻坚”行动。修订我市创城任务清单，实施台账调度机制，督促全市各级</w:t>
      </w:r>
      <w:r>
        <w:rPr>
          <w:rFonts w:hint="eastAsia" w:ascii="仿宋_GB2312" w:hAnsi="仿宋" w:eastAsia="仿宋_GB2312"/>
          <w:szCs w:val="32"/>
          <w:lang w:eastAsia="zh-CN"/>
        </w:rPr>
        <w:t>党委、政府</w:t>
      </w:r>
      <w:r>
        <w:rPr>
          <w:rFonts w:hint="eastAsia" w:ascii="仿宋_GB2312" w:hAnsi="仿宋" w:eastAsia="仿宋_GB2312"/>
          <w:szCs w:val="32"/>
        </w:rPr>
        <w:t>落实食品安全责任，持续加大食品安全经费保障力度，推动各有关部门落实创城任务，强力推进我市达到国家食品安全示范城市验收各项指标要求。聘请第三方机构，开展食品安全满意度调查，了解我市公众食品安全满意度现状。以发现问题为导向，适时组建督查组或聘请第三方机构，对我市创城各项标准完成情况进行明查暗访，查缺补漏，补齐短板，确保我市达到国家创城标准。</w:t>
      </w:r>
    </w:p>
    <w:p>
      <w:pPr>
        <w:widowControl w:val="0"/>
        <w:ind w:left="640" w:leftChars="200"/>
        <w:rPr>
          <w:rFonts w:ascii="Times New Roman" w:hAnsi="Times New Roman" w:eastAsia="楷体" w:cs="Times New Roman"/>
          <w:szCs w:val="32"/>
        </w:rPr>
      </w:pPr>
      <w:r>
        <w:rPr>
          <w:rFonts w:hint="eastAsia" w:ascii="Times New Roman" w:hAnsi="Times New Roman" w:eastAsia="楷体" w:cs="Times New Roman"/>
          <w:szCs w:val="32"/>
        </w:rPr>
        <w:t>责任分工：各区、县（市）市场监管局</w:t>
      </w:r>
      <w:r>
        <w:rPr>
          <w:rFonts w:ascii="Times New Roman" w:hAnsi="Times New Roman" w:eastAsia="楷体" w:cs="Times New Roman"/>
          <w:szCs w:val="32"/>
        </w:rPr>
        <w:t>，食品协调处</w:t>
      </w:r>
      <w:r>
        <w:rPr>
          <w:rFonts w:ascii="Times New Roman" w:hAnsi="Times New Roman" w:eastAsia="仿宋_GB2312" w:cs="Times New Roman"/>
          <w:szCs w:val="32"/>
        </w:rPr>
        <w:t>。</w:t>
      </w:r>
    </w:p>
    <w:p>
      <w:pPr>
        <w:widowControl w:val="0"/>
        <w:ind w:firstLine="640" w:firstLineChars="200"/>
        <w:rPr>
          <w:rFonts w:ascii="Times New Roman" w:hAnsi="Times New Roman" w:eastAsia="黑体" w:cs="Times New Roman"/>
          <w:szCs w:val="32"/>
        </w:rPr>
      </w:pPr>
      <w:r>
        <w:rPr>
          <w:rFonts w:ascii="Times New Roman" w:hAnsi="Times New Roman" w:eastAsia="黑体" w:cs="Times New Roman"/>
          <w:szCs w:val="32"/>
        </w:rPr>
        <w:t>三、大力推动企业食品安全主体责任落实</w:t>
      </w:r>
    </w:p>
    <w:p>
      <w:pPr>
        <w:widowControl w:val="0"/>
        <w:ind w:firstLine="640" w:firstLineChars="200"/>
        <w:rPr>
          <w:rFonts w:ascii="Times New Roman" w:hAnsi="Times New Roman" w:eastAsia="楷体" w:cs="Times New Roman"/>
          <w:szCs w:val="32"/>
        </w:rPr>
      </w:pPr>
      <w:r>
        <w:rPr>
          <w:rFonts w:ascii="Times New Roman" w:hAnsi="Times New Roman" w:eastAsia="楷体" w:cs="Times New Roman"/>
          <w:szCs w:val="32"/>
        </w:rPr>
        <w:t>1</w:t>
      </w:r>
      <w:r>
        <w:rPr>
          <w:rFonts w:hint="eastAsia" w:ascii="Times New Roman" w:hAnsi="Times New Roman" w:eastAsia="楷体" w:cs="Times New Roman"/>
          <w:szCs w:val="32"/>
        </w:rPr>
        <w:t>.</w:t>
      </w:r>
      <w:r>
        <w:rPr>
          <w:rFonts w:ascii="Times New Roman" w:hAnsi="Times New Roman" w:eastAsia="楷体" w:cs="Times New Roman"/>
          <w:szCs w:val="32"/>
        </w:rPr>
        <w:t>明确食品安全主体责任清单。</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完善食品生产企业、校园食堂、中央厨房和集体用餐配送单位、餐饮服务单位、农贸市场、批发市场、商场超市和小作坊、小餐饮、小摊贩等食品安全主体责任清单和自查目录。推进食品生产经营单位开展公开承诺，自觉接受社会监督。</w:t>
      </w:r>
      <w:r>
        <w:rPr>
          <w:rFonts w:hint="eastAsia" w:ascii="仿宋_GB2312" w:hAnsi="宋体" w:eastAsia="仿宋_GB2312" w:cs="仿宋_GB2312"/>
        </w:rPr>
        <w:t>推进重点食品销售单位通过</w:t>
      </w:r>
      <w:r>
        <w:rPr>
          <w:rFonts w:ascii="仿宋_GB2312" w:hAnsi="Times New Roman" w:eastAsia="仿宋_GB2312" w:cs="仿宋_GB2312"/>
        </w:rPr>
        <w:t>APP</w:t>
      </w:r>
      <w:r>
        <w:rPr>
          <w:rFonts w:hint="eastAsia" w:ascii="仿宋_GB2312" w:hAnsi="宋体" w:eastAsia="仿宋_GB2312" w:cs="仿宋_GB2312"/>
        </w:rPr>
        <w:t>等形式开展公开承诺，在产食品生产企业、</w:t>
      </w:r>
      <w:r>
        <w:rPr>
          <w:rFonts w:hint="eastAsia" w:ascii="仿宋_GB2312" w:hAnsi="仿宋_GB2312" w:eastAsia="仿宋_GB2312" w:cs="仿宋_GB2312"/>
          <w:bCs/>
          <w:szCs w:val="32"/>
        </w:rPr>
        <w:t>校园食堂、供餐单位、校内餐饮服务单位和校园周边餐饮服务单位、小餐饮的食品安全公开承诺率达到100%。</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责任分工：各区、县（市）市场监管局</w:t>
      </w:r>
      <w:r>
        <w:rPr>
          <w:rFonts w:ascii="Times New Roman" w:hAnsi="Times New Roman" w:eastAsia="楷体" w:cs="Times New Roman"/>
          <w:szCs w:val="32"/>
        </w:rPr>
        <w:t>，食品生产处、</w:t>
      </w:r>
      <w:r>
        <w:rPr>
          <w:rFonts w:hint="eastAsia" w:ascii="Times New Roman" w:hAnsi="Times New Roman" w:eastAsia="楷体" w:cs="Times New Roman"/>
          <w:szCs w:val="32"/>
        </w:rPr>
        <w:t>食品流通处、食品餐饮处</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left="640"/>
        <w:rPr>
          <w:rFonts w:ascii="Times New Roman" w:hAnsi="Times New Roman" w:eastAsia="楷体" w:cs="Times New Roman"/>
          <w:szCs w:val="32"/>
        </w:rPr>
      </w:pPr>
      <w:r>
        <w:rPr>
          <w:rFonts w:hint="eastAsia" w:ascii="Times New Roman" w:hAnsi="Times New Roman" w:eastAsia="楷体" w:cs="Times New Roman"/>
          <w:szCs w:val="32"/>
        </w:rPr>
        <w:t>2.</w:t>
      </w:r>
      <w:r>
        <w:rPr>
          <w:rFonts w:ascii="Times New Roman" w:hAnsi="Times New Roman" w:eastAsia="楷体" w:cs="Times New Roman"/>
          <w:szCs w:val="32"/>
        </w:rPr>
        <w:t>督促落实食品安全主体责任。</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健全食品生产经营单位自查报告机制，督促食品生产经营单位定期开展食品安全自查，严格落实进货查验、过程管控、出厂检验、全程记录等相关管理措施。在产食品生产企业自查报告率达到90%以上，特殊食品生产企业达到100%，重点督促连锁企业总部、网络食品交易第三方平台提供者、大型食品批发企业等食品经营企业开展自查。督促高风险大型食品生产企业建立并实施危害分析和关键控制点等体系。发挥食品质量安全管理员作用，推动落实生产经营过程持续合规、产品符合食品安全标准的要求，</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责任分工：各区、县（市）市场监管局</w:t>
      </w:r>
      <w:r>
        <w:rPr>
          <w:rFonts w:ascii="Times New Roman" w:hAnsi="Times New Roman" w:eastAsia="楷体" w:cs="Times New Roman"/>
          <w:szCs w:val="32"/>
        </w:rPr>
        <w:t>，食品生产处、</w:t>
      </w:r>
      <w:r>
        <w:rPr>
          <w:rFonts w:hint="eastAsia" w:ascii="Times New Roman" w:hAnsi="Times New Roman" w:eastAsia="楷体" w:cs="Times New Roman"/>
          <w:szCs w:val="32"/>
        </w:rPr>
        <w:t>食品流通处、食品餐饮处</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left="640"/>
        <w:rPr>
          <w:rFonts w:ascii="Times New Roman" w:hAnsi="Times New Roman" w:eastAsia="楷体" w:cs="Times New Roman"/>
          <w:szCs w:val="32"/>
        </w:rPr>
      </w:pPr>
      <w:r>
        <w:rPr>
          <w:rFonts w:hint="eastAsia" w:ascii="Times New Roman" w:hAnsi="Times New Roman" w:eastAsia="楷体" w:cs="Times New Roman"/>
          <w:szCs w:val="32"/>
        </w:rPr>
        <w:t>3.</w:t>
      </w:r>
      <w:r>
        <w:rPr>
          <w:rFonts w:ascii="Times New Roman" w:hAnsi="Times New Roman" w:eastAsia="楷体" w:cs="Times New Roman"/>
          <w:szCs w:val="32"/>
        </w:rPr>
        <w:t>督促完善食品安全追溯体系。</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进一步规范食品（原料）进货台账示范文本，督促食品生产经营者落实进货查验制度和索证索票义务，鼓励食品销售单位采用自建系统或电子方式推进信息追溯，记录真实完整、产品来源可查、去向可追。推动乳制品、植物油、白酒生产企业建立食品安全追溯体系。</w:t>
      </w:r>
    </w:p>
    <w:p>
      <w:pPr>
        <w:widowControl w:val="0"/>
        <w:ind w:firstLine="640" w:firstLineChars="200"/>
        <w:rPr>
          <w:rFonts w:ascii="Times New Roman" w:hAnsi="Times New Roman" w:eastAsia="楷体" w:cs="Times New Roman"/>
          <w:b/>
          <w:szCs w:val="32"/>
        </w:rPr>
      </w:pPr>
      <w:r>
        <w:rPr>
          <w:rFonts w:hint="eastAsia" w:ascii="Times New Roman" w:hAnsi="Times New Roman" w:eastAsia="楷体" w:cs="Times New Roman"/>
          <w:szCs w:val="32"/>
        </w:rPr>
        <w:t>责任分工：各区、县（市）市场监管局</w:t>
      </w:r>
      <w:r>
        <w:rPr>
          <w:rFonts w:ascii="Times New Roman" w:hAnsi="Times New Roman" w:eastAsia="楷体" w:cs="Times New Roman"/>
          <w:szCs w:val="32"/>
        </w:rPr>
        <w:t>，食品生产处、</w:t>
      </w:r>
      <w:r>
        <w:rPr>
          <w:rFonts w:hint="eastAsia" w:ascii="Times New Roman" w:hAnsi="Times New Roman" w:eastAsia="楷体" w:cs="Times New Roman"/>
          <w:szCs w:val="32"/>
        </w:rPr>
        <w:t>食品流通处、食品餐饮处</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left="640"/>
        <w:rPr>
          <w:rFonts w:ascii="Times New Roman" w:hAnsi="Times New Roman" w:eastAsia="楷体" w:cs="Times New Roman"/>
          <w:szCs w:val="32"/>
        </w:rPr>
      </w:pPr>
      <w:r>
        <w:rPr>
          <w:rFonts w:hint="eastAsia" w:ascii="Times New Roman" w:hAnsi="Times New Roman" w:eastAsia="楷体" w:cs="Times New Roman"/>
          <w:szCs w:val="32"/>
        </w:rPr>
        <w:t>4.</w:t>
      </w:r>
      <w:r>
        <w:rPr>
          <w:rFonts w:ascii="Times New Roman" w:hAnsi="Times New Roman" w:eastAsia="楷体" w:cs="Times New Roman"/>
          <w:szCs w:val="32"/>
        </w:rPr>
        <w:t>推动农批市场实施信息化追溯管理。</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强化源头管控，推广应用辽宁省食用农产品批发市场食品安全追溯系统，建立完善入场销售者档案，试点推行大宗食用农产品产地准出、市场准入证明和抽检报告追溯管理，对农批市场实行市场监管部门和市场主办方双重专人管理制度。</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w:t>
      </w:r>
      <w:r>
        <w:rPr>
          <w:rFonts w:hint="eastAsia" w:ascii="Times New Roman" w:hAnsi="Times New Roman" w:eastAsia="楷体" w:cs="Times New Roman"/>
          <w:szCs w:val="32"/>
        </w:rPr>
        <w:t>食品流通处、食品抽检处</w:t>
      </w:r>
      <w:r>
        <w:rPr>
          <w:rFonts w:ascii="Times New Roman" w:hAnsi="Times New Roman" w:eastAsia="仿宋_GB2312" w:cs="Times New Roman"/>
          <w:szCs w:val="32"/>
        </w:rPr>
        <w:t>。</w:t>
      </w:r>
    </w:p>
    <w:p>
      <w:pPr>
        <w:widowControl w:val="0"/>
        <w:ind w:firstLine="640" w:firstLineChars="200"/>
        <w:rPr>
          <w:rFonts w:ascii="Times New Roman" w:hAnsi="Times New Roman" w:eastAsia="黑体" w:cs="Times New Roman"/>
          <w:szCs w:val="32"/>
        </w:rPr>
      </w:pPr>
      <w:r>
        <w:rPr>
          <w:rFonts w:ascii="Times New Roman" w:hAnsi="Times New Roman" w:eastAsia="黑体" w:cs="Times New Roman"/>
          <w:szCs w:val="32"/>
        </w:rPr>
        <w:t>四、不断加强食品安全智慧监管</w:t>
      </w:r>
    </w:p>
    <w:p>
      <w:pPr>
        <w:widowControl w:val="0"/>
        <w:ind w:firstLine="640" w:firstLineChars="200"/>
        <w:rPr>
          <w:rFonts w:ascii="Times New Roman" w:hAnsi="Times New Roman" w:eastAsia="楷体" w:cs="Times New Roman"/>
          <w:szCs w:val="32"/>
        </w:rPr>
      </w:pPr>
      <w:r>
        <w:rPr>
          <w:rFonts w:ascii="Times New Roman" w:hAnsi="Times New Roman" w:eastAsia="楷体" w:cs="Times New Roman"/>
          <w:szCs w:val="32"/>
        </w:rPr>
        <w:t>1</w:t>
      </w:r>
      <w:r>
        <w:rPr>
          <w:rFonts w:hint="eastAsia" w:ascii="Times New Roman" w:hAnsi="Times New Roman" w:eastAsia="楷体" w:cs="Times New Roman"/>
          <w:szCs w:val="32"/>
        </w:rPr>
        <w:t>.</w:t>
      </w:r>
      <w:r>
        <w:rPr>
          <w:rFonts w:ascii="Times New Roman" w:hAnsi="Times New Roman" w:eastAsia="楷体" w:cs="Times New Roman"/>
          <w:szCs w:val="32"/>
        </w:rPr>
        <w:t>强化食品安全信用监管。</w:t>
      </w:r>
    </w:p>
    <w:p>
      <w:pPr>
        <w:widowControl w:val="0"/>
        <w:ind w:firstLine="640" w:firstLineChars="200"/>
        <w:rPr>
          <w:rFonts w:ascii="Times New Roman" w:hAnsi="Times New Roman" w:eastAsia="楷体" w:cs="Times New Roman"/>
          <w:szCs w:val="32"/>
        </w:rPr>
      </w:pPr>
      <w:r>
        <w:rPr>
          <w:rFonts w:hint="eastAsia" w:ascii="Times New Roman" w:hAnsi="Times New Roman" w:eastAsia="仿宋_GB2312" w:cs="Times New Roman"/>
          <w:szCs w:val="32"/>
        </w:rPr>
        <w:t>强化食品安全信用监管机制建设，持续推进网格化智慧监管平台建设，归集企业登记注册、行政许可、监督检查、行政处罚、检验检测及投诉举报等信息，通过大数据分析，提升智慧监管效能。不断完善企业端APP，实现食品企业的食品安全承诺书、食品安全自查报告、食品安全管理人员在线培训考试等功能。使用“沈阳食药监管”APP开展监督检查，并利用沈阳市网格化智慧监管系统生成食品安全信用信息监管档案。加强食品领域严重违法失信企业的联合惩戒。</w:t>
      </w: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，食品协调处、食品生产处、</w:t>
      </w:r>
      <w:r>
        <w:rPr>
          <w:rFonts w:hint="eastAsia" w:ascii="Times New Roman" w:hAnsi="Times New Roman" w:eastAsia="楷体" w:cs="Times New Roman"/>
          <w:szCs w:val="32"/>
        </w:rPr>
        <w:t>食品流通处、食品餐饮处</w:t>
      </w:r>
      <w:r>
        <w:rPr>
          <w:rFonts w:ascii="Times New Roman" w:hAnsi="Times New Roman" w:eastAsia="楷体" w:cs="Times New Roman"/>
          <w:szCs w:val="32"/>
        </w:rPr>
        <w:t>、食品抽检处</w:t>
      </w:r>
      <w:r>
        <w:rPr>
          <w:rFonts w:hint="eastAsia" w:ascii="Times New Roman" w:hAnsi="Times New Roman" w:eastAsia="楷体" w:cs="Times New Roman"/>
          <w:szCs w:val="32"/>
        </w:rPr>
        <w:t>、应急处，市场中心</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left="640"/>
        <w:rPr>
          <w:rFonts w:ascii="Times New Roman" w:hAnsi="Times New Roman" w:eastAsia="楷体" w:cs="Times New Roman"/>
          <w:szCs w:val="32"/>
        </w:rPr>
      </w:pPr>
      <w:r>
        <w:rPr>
          <w:rFonts w:hint="eastAsia" w:ascii="Times New Roman" w:hAnsi="Times New Roman" w:eastAsia="楷体" w:cs="Times New Roman"/>
          <w:szCs w:val="32"/>
        </w:rPr>
        <w:t>2.</w:t>
      </w:r>
      <w:r>
        <w:rPr>
          <w:rFonts w:ascii="Times New Roman" w:hAnsi="Times New Roman" w:eastAsia="楷体" w:cs="Times New Roman"/>
          <w:szCs w:val="32"/>
        </w:rPr>
        <w:t>深化与互联网第三方平台合作。</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与第三方平台在数据共享、食品质量管控、消费维权合作机制、违法行为惩治等方面加强合作，推进</w:t>
      </w:r>
      <w:r>
        <w:rPr>
          <w:rFonts w:hint="eastAsia" w:ascii="仿宋_GB2312" w:hAnsi="仿宋_GB2312" w:eastAsia="仿宋_GB2312" w:cs="仿宋_GB2312"/>
          <w:szCs w:val="32"/>
        </w:rPr>
        <w:t>线上线下社会监督与部门监管联动，持续推进“食安封签”全域投放。</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w:t>
      </w:r>
      <w:r>
        <w:rPr>
          <w:rFonts w:hint="eastAsia" w:ascii="Times New Roman" w:hAnsi="Times New Roman" w:eastAsia="楷体" w:cs="Times New Roman"/>
          <w:szCs w:val="32"/>
        </w:rPr>
        <w:t>食品流通处、食品餐饮处</w:t>
      </w:r>
      <w:r>
        <w:rPr>
          <w:rFonts w:ascii="Times New Roman" w:hAnsi="Times New Roman" w:eastAsia="楷体" w:cs="Times New Roman"/>
          <w:szCs w:val="32"/>
        </w:rPr>
        <w:t>、食品生产处</w:t>
      </w:r>
      <w:r>
        <w:rPr>
          <w:rFonts w:hint="eastAsia" w:ascii="Times New Roman" w:hAnsi="Times New Roman" w:eastAsia="楷体" w:cs="Times New Roman"/>
          <w:szCs w:val="32"/>
        </w:rPr>
        <w:t>、网监处、执法稽查局，市场中心</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left="640"/>
        <w:rPr>
          <w:rFonts w:ascii="Times New Roman" w:hAnsi="Times New Roman" w:eastAsia="楷体" w:cs="Times New Roman"/>
          <w:szCs w:val="32"/>
        </w:rPr>
      </w:pPr>
      <w:r>
        <w:rPr>
          <w:rFonts w:hint="eastAsia" w:ascii="Times New Roman" w:hAnsi="Times New Roman" w:eastAsia="楷体" w:cs="Times New Roman"/>
          <w:szCs w:val="32"/>
        </w:rPr>
        <w:t>3.</w:t>
      </w:r>
      <w:r>
        <w:rPr>
          <w:rFonts w:ascii="Times New Roman" w:hAnsi="Times New Roman" w:eastAsia="楷体" w:cs="Times New Roman"/>
          <w:szCs w:val="32"/>
        </w:rPr>
        <w:t>推进“互联网+明厨亮灶”。</w:t>
      </w:r>
    </w:p>
    <w:p>
      <w:pPr>
        <w:widowControl w:val="0"/>
        <w:ind w:firstLine="640" w:firstLineChars="200"/>
        <w:rPr>
          <w:rFonts w:ascii="Times New Roman" w:hAnsi="Times New Roman" w:eastAsia="楷体" w:cs="Times New Roman"/>
          <w:szCs w:val="32"/>
        </w:rPr>
      </w:pPr>
      <w:r>
        <w:rPr>
          <w:rFonts w:hint="eastAsia" w:ascii="Times New Roman" w:hAnsi="Times New Roman" w:eastAsia="仿宋_GB2312" w:cs="Times New Roman"/>
          <w:szCs w:val="32"/>
        </w:rPr>
        <w:t>扩大“明厨亮灶”实施范围，规模以上社会餐饮服务单位、中央厨房、集体用餐配送单位“互联网+明厨亮灶”比例达到30%，学生集体用餐配送单位“互联网+明厨亮灶”覆盖率达到100%。借助“互联网+明厨亮灶”，积极开展餐饮服务单位和学校食堂的食品安全状况随机抽查。</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w:t>
      </w:r>
      <w:r>
        <w:rPr>
          <w:rFonts w:hint="eastAsia" w:ascii="Times New Roman" w:hAnsi="Times New Roman" w:eastAsia="楷体" w:cs="Times New Roman"/>
          <w:szCs w:val="32"/>
        </w:rPr>
        <w:t>食品餐饮处、应急处</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4.</w:t>
      </w:r>
      <w:r>
        <w:rPr>
          <w:rFonts w:ascii="Times New Roman" w:hAnsi="Times New Roman" w:eastAsia="楷体" w:cs="Times New Roman"/>
          <w:szCs w:val="32"/>
        </w:rPr>
        <w:t>推进食品生产企业履行主体责任公示。</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利用食品生产企业主体责任系统，督促重点食品生产企业在企业主体责任系统上公示履行主体责任情况，发挥社会监督作用。</w:t>
      </w:r>
    </w:p>
    <w:p>
      <w:pPr>
        <w:widowControl w:val="0"/>
        <w:ind w:left="640" w:left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，食品生产处</w:t>
      </w:r>
      <w:r>
        <w:rPr>
          <w:rFonts w:hint="eastAsia" w:ascii="Times New Roman" w:hAnsi="Times New Roman" w:eastAsia="楷体" w:cs="Times New Roman"/>
          <w:szCs w:val="32"/>
        </w:rPr>
        <w:t>。</w:t>
      </w:r>
    </w:p>
    <w:p>
      <w:pPr>
        <w:widowControl w:val="0"/>
        <w:ind w:firstLine="640" w:firstLineChars="200"/>
        <w:rPr>
          <w:rFonts w:ascii="Times New Roman" w:hAnsi="Times New Roman" w:eastAsia="黑体" w:cs="Times New Roman"/>
          <w:szCs w:val="32"/>
        </w:rPr>
      </w:pPr>
      <w:r>
        <w:rPr>
          <w:rFonts w:ascii="Times New Roman" w:hAnsi="Times New Roman" w:eastAsia="黑体" w:cs="Times New Roman"/>
          <w:szCs w:val="32"/>
        </w:rPr>
        <w:t>五、严格做好食品安全风险防控</w:t>
      </w:r>
    </w:p>
    <w:p>
      <w:pPr>
        <w:widowControl w:val="0"/>
        <w:ind w:left="640" w:leftChars="200"/>
        <w:rPr>
          <w:rFonts w:ascii="Times New Roman" w:hAnsi="Times New Roman" w:eastAsia="楷体" w:cs="Times New Roman"/>
          <w:szCs w:val="32"/>
        </w:rPr>
      </w:pPr>
      <w:r>
        <w:rPr>
          <w:rFonts w:ascii="Times New Roman" w:hAnsi="Times New Roman" w:eastAsia="楷体" w:cs="Times New Roman"/>
          <w:szCs w:val="32"/>
        </w:rPr>
        <w:t>1</w:t>
      </w:r>
      <w:r>
        <w:rPr>
          <w:rFonts w:hint="eastAsia" w:ascii="Times New Roman" w:hAnsi="Times New Roman" w:eastAsia="楷体" w:cs="Times New Roman"/>
          <w:szCs w:val="32"/>
        </w:rPr>
        <w:t>.</w:t>
      </w:r>
      <w:r>
        <w:rPr>
          <w:rFonts w:ascii="Times New Roman" w:hAnsi="Times New Roman" w:eastAsia="楷体" w:cs="Times New Roman"/>
          <w:szCs w:val="32"/>
        </w:rPr>
        <w:t>强化食品生产经营风险管理。</w:t>
      </w:r>
    </w:p>
    <w:p>
      <w:pPr>
        <w:widowControl w:val="0"/>
        <w:ind w:firstLine="640" w:firstLineChars="200"/>
        <w:rPr>
          <w:rFonts w:ascii="Times New Roman" w:hAnsi="Times New Roman" w:eastAsia="楷体" w:cs="Times New Roman"/>
          <w:szCs w:val="32"/>
        </w:rPr>
      </w:pPr>
      <w:r>
        <w:rPr>
          <w:rFonts w:hint="eastAsia" w:ascii="Times New Roman" w:hAnsi="Times New Roman" w:eastAsia="仿宋_GB2312" w:cs="Times New Roman"/>
          <w:szCs w:val="32"/>
        </w:rPr>
        <w:t>按照省局修订完善的食品生产风险分级监管指导意见，合理划分食品生产经营者风险等级，修订完善食品销售日常监督检查要点表，实现食品生产经营者风险分级动态管理。</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，食品生产处、</w:t>
      </w:r>
      <w:r>
        <w:rPr>
          <w:rFonts w:hint="eastAsia" w:ascii="Times New Roman" w:hAnsi="Times New Roman" w:eastAsia="楷体" w:cs="Times New Roman"/>
          <w:szCs w:val="32"/>
        </w:rPr>
        <w:t>食品流通处、食品餐饮处</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left="640"/>
        <w:rPr>
          <w:rFonts w:ascii="Times New Roman" w:hAnsi="Times New Roman" w:eastAsia="楷体" w:cs="Times New Roman"/>
          <w:szCs w:val="32"/>
        </w:rPr>
      </w:pPr>
      <w:r>
        <w:rPr>
          <w:rFonts w:hint="eastAsia" w:ascii="Times New Roman" w:hAnsi="Times New Roman" w:eastAsia="楷体" w:cs="Times New Roman"/>
          <w:szCs w:val="32"/>
        </w:rPr>
        <w:t>2.</w:t>
      </w:r>
      <w:r>
        <w:rPr>
          <w:rFonts w:ascii="Times New Roman" w:hAnsi="Times New Roman" w:eastAsia="楷体" w:cs="Times New Roman"/>
          <w:szCs w:val="32"/>
        </w:rPr>
        <w:t>加强食品质量安全监督管理。</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依托“沈阳食药监管”APP，开展日常监管，结合随机检查、飞行检查、暗访检查等形式，对全市食品生产经营单位实行全覆盖监管，强化食品安全隐患排查和综合治理。对高风险大宗消费食品生产企业开展重点检查，对婴幼儿配方乳粉生产企业开展飞行检查。加强食品集中交易市场开办者和食用农产品销售者监管，推行产地准出和市场准入制度。开展“随机查餐厅”活动，鼓励采取“视频+图文”直播的形式公开监督检查过程。加强网络餐饮服务第三方平台入网审查登记、线上信息公示、配送过程及分支机构、代理商、合作商等主体责任落实情况的管理。委托第三方数据公司对网络餐饮服务第三方平台开展网络定向监测工作，分析结果用于开展线下精准检查执法，解决传统人工监管效率低、覆盖面有限问题。督促网络餐饮服务第三方平台切实履行各项主体责任，规范网络餐饮服务第三方平台提供者和入网餐饮服务提供者经营行为。</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，食品生产处、</w:t>
      </w:r>
      <w:r>
        <w:rPr>
          <w:rFonts w:hint="eastAsia" w:ascii="Times New Roman" w:hAnsi="Times New Roman" w:eastAsia="楷体" w:cs="Times New Roman"/>
          <w:szCs w:val="32"/>
        </w:rPr>
        <w:t>食品流通处、食品餐饮处、网监处</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3.</w:t>
      </w:r>
      <w:r>
        <w:rPr>
          <w:rFonts w:ascii="Times New Roman" w:hAnsi="Times New Roman" w:eastAsia="楷体" w:cs="Times New Roman"/>
          <w:szCs w:val="32"/>
        </w:rPr>
        <w:t>持续推进食品安全责任保险。</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创新和完善政府统筹、金融助力的食品安全责任保险工作机制，引导食品生产经营单位投保食品安全责任保险，鼓励肉蛋奶和白酒生产企业、集中用餐单位、农村集体聚餐、大宗食品配送单位、中央厨房和配餐单位等主动购买食品安全责任保险。年底前全市食品经营单位参保率达90%以上，督促金融机构不断提升理赔能力和服务水平，引导消费者利用食品安全责任保险维护合法权益。</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，食品协调处</w:t>
      </w:r>
      <w:r>
        <w:rPr>
          <w:rFonts w:hint="eastAsia" w:ascii="Times New Roman" w:hAnsi="Times New Roman" w:eastAsia="楷体" w:cs="Times New Roman"/>
          <w:szCs w:val="32"/>
        </w:rPr>
        <w:t>、食品生产处、流通处、餐饮处</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4.</w:t>
      </w:r>
      <w:r>
        <w:rPr>
          <w:rFonts w:ascii="Times New Roman" w:hAnsi="Times New Roman" w:eastAsia="楷体" w:cs="Times New Roman"/>
          <w:szCs w:val="32"/>
        </w:rPr>
        <w:t>强化风险预警交流。</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深化预警交流区域协作，及时发布消费提示及风险预警。组建食品安全专家队伍，定期开展风险交流，进行风险解读，科学解疑释惑。开展食品安全风险会商和研判，强化数据共享，鼓励研究机构、高校、协会、企业等参与食品安全风险交流，注重发挥行业协会作用。组织开展食品安全事故应急演练。</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，食品协调处、食品抽检处</w:t>
      </w:r>
      <w:r>
        <w:rPr>
          <w:rFonts w:hint="eastAsia" w:ascii="Times New Roman" w:hAnsi="Times New Roman" w:eastAsia="楷体" w:cs="Times New Roman"/>
          <w:szCs w:val="32"/>
        </w:rPr>
        <w:t>、应急处，市场中心</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5.</w:t>
      </w:r>
      <w:r>
        <w:rPr>
          <w:rFonts w:ascii="Times New Roman" w:hAnsi="Times New Roman" w:eastAsia="楷体" w:cs="Times New Roman"/>
          <w:szCs w:val="32"/>
        </w:rPr>
        <w:t>加强食品从业人员教育管理。</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完善食品安全必备知识的课程和题库，强化从业人员和食品安全管理人员培训考核，在产食品生产企业、重点食品销售企业食品安全管理人员抽查考核覆盖率达倒100%；</w:t>
      </w:r>
      <w:r>
        <w:rPr>
          <w:rFonts w:hint="eastAsia" w:ascii="仿宋_GB2312" w:hAnsi="仿宋_GB2312" w:eastAsia="仿宋_GB2312" w:cs="仿宋_GB2312"/>
          <w:szCs w:val="32"/>
        </w:rPr>
        <w:t>开展“餐饮从业人员培训年”活动，</w:t>
      </w:r>
      <w:r>
        <w:rPr>
          <w:rFonts w:hint="eastAsia" w:ascii="Times New Roman" w:hAnsi="Times New Roman" w:eastAsia="仿宋_GB2312" w:cs="Times New Roman"/>
          <w:szCs w:val="32"/>
        </w:rPr>
        <w:t>督促指导餐饮单位使用“沈阳食药监管”APP企业端进行注册，企业食品安全管理人员抽查考核覆盖率达到100%，全面提升从业人员素质和食品安全管理人员管理能力。</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，食品生产处、</w:t>
      </w:r>
      <w:r>
        <w:rPr>
          <w:rFonts w:hint="eastAsia" w:ascii="Times New Roman" w:hAnsi="Times New Roman" w:eastAsia="楷体" w:cs="Times New Roman"/>
          <w:szCs w:val="32"/>
        </w:rPr>
        <w:t>食品流通处、食品餐饮处、应急处</w:t>
      </w:r>
      <w:r>
        <w:rPr>
          <w:rFonts w:ascii="Times New Roman" w:hAnsi="Times New Roman" w:eastAsia="楷体" w:cs="Times New Roman"/>
          <w:szCs w:val="32"/>
        </w:rPr>
        <w:t>按职责分工负责</w:t>
      </w:r>
      <w:r>
        <w:rPr>
          <w:rFonts w:ascii="Times New Roman" w:hAnsi="Times New Roman" w:eastAsia="仿宋_GB2312" w:cs="Times New Roman"/>
          <w:szCs w:val="32"/>
        </w:rPr>
        <w:t>。</w:t>
      </w:r>
    </w:p>
    <w:p>
      <w:pPr>
        <w:widowControl w:val="0"/>
        <w:ind w:firstLine="640" w:firstLineChars="200"/>
        <w:rPr>
          <w:rFonts w:ascii="Times New Roman" w:hAnsi="Times New Roman" w:eastAsia="黑体" w:cs="Times New Roman"/>
          <w:szCs w:val="32"/>
        </w:rPr>
      </w:pPr>
      <w:r>
        <w:rPr>
          <w:rFonts w:ascii="Times New Roman" w:hAnsi="Times New Roman" w:eastAsia="黑体" w:cs="Times New Roman"/>
          <w:szCs w:val="32"/>
        </w:rPr>
        <w:t>六、改进和提升食品抽检监测工作</w:t>
      </w:r>
    </w:p>
    <w:p>
      <w:pPr>
        <w:widowControl w:val="0"/>
        <w:ind w:left="640" w:leftChars="200"/>
        <w:rPr>
          <w:rFonts w:ascii="Times New Roman" w:hAnsi="Times New Roman" w:eastAsia="楷体" w:cs="Times New Roman"/>
          <w:szCs w:val="32"/>
        </w:rPr>
      </w:pPr>
      <w:r>
        <w:rPr>
          <w:rFonts w:ascii="Times New Roman" w:hAnsi="Times New Roman" w:eastAsia="楷体" w:cs="Times New Roman"/>
          <w:szCs w:val="32"/>
        </w:rPr>
        <w:t>1</w:t>
      </w:r>
      <w:r>
        <w:rPr>
          <w:rFonts w:hint="eastAsia" w:ascii="Times New Roman" w:hAnsi="Times New Roman" w:eastAsia="楷体" w:cs="Times New Roman"/>
          <w:szCs w:val="32"/>
        </w:rPr>
        <w:t>.</w:t>
      </w:r>
      <w:r>
        <w:rPr>
          <w:rFonts w:ascii="Times New Roman" w:hAnsi="Times New Roman" w:eastAsia="楷体" w:cs="Times New Roman"/>
          <w:szCs w:val="32"/>
        </w:rPr>
        <w:t>稳定食品安全抽检数量。</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结合食品安全“你点我检”服务活动，制定辖区2021年食品安全抽检监测计划实施方案，市本级食品抽检量不低于1.6万批次，各区、县（市）抽检量不低于第七次人口普查本辖区常住人口2批次/千人，其中食用农产品抽检不低于1批次/千人。各级食品安全承检机构招标工作早准备、早实施， 均衡安排年度、季度、月度抽检监测任务，确保如期完成任务指标。</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，食品抽检处</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2.</w:t>
      </w:r>
      <w:r>
        <w:rPr>
          <w:rFonts w:ascii="Times New Roman" w:hAnsi="Times New Roman" w:eastAsia="楷体" w:cs="Times New Roman"/>
          <w:szCs w:val="32"/>
        </w:rPr>
        <w:t>强化食品安全放心工程的抽检工作。</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围绕辽宁省食品安全建设年工作任务，持续开展校园食品安全守护行动、餐饮质量安全提升行动、农村假冒伪劣食品整治行动专项抽检监测，加强对农产品批发市场、农村地区、校园周边等重点区域，以及米面油、肉蛋奶、果蔬茶等重点品种的抽检，并在信息系统抽检样品备注栏中统一填写任务名称。强化抽检与监管的联管联动，把快检阳性率高的品种和项目列入监督抽检计划，落实食用农产品、进口重点冷链食品（畜禽肉和水产品）由属地市场监管人员陪同抽样、监督检查和执法取证工作，抽取食用农产品原则上要有产地合格证或供货来源信息。突出问题导向，切实增强监督抽检的靶向性和有效性，提高问题发现率。</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，食品抽检处</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3.</w:t>
      </w:r>
      <w:r>
        <w:rPr>
          <w:rFonts w:ascii="Times New Roman" w:hAnsi="Times New Roman" w:eastAsia="楷体" w:cs="Times New Roman"/>
          <w:szCs w:val="32"/>
        </w:rPr>
        <w:t>不断提升抽检结果的应用水平。</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严格按照全市抽检计划的任务数量组织实施食品安全抽检监测工作，及时通过国抽信息系统真实、客观、准确填报抽检监测数据。建立数据统一归集，分析利用工作机制，多维度分析存在的主要食品安全问题并研判风险隐患，加强市区（县）两级、相关处室及有关部门之间的预警交流，为监管提供有力的技术支撑。建立核查处置“日查看、周调度、月通报”工作机制，按照“五个到位”要求，对抽检不合格产品采取风险控制措施，并依法开展核查处置工作，确保不合格食品核查处置达到“两个100%”。坚持“时、度、效”原则，按照规定程序，及时公布监督抽检结果、抽检不合格食品风险控制情况及核查处置信息，切实回应百姓关切。</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，食品抽检处</w:t>
      </w:r>
      <w:r>
        <w:rPr>
          <w:rFonts w:ascii="Times New Roman" w:hAnsi="Times New Roman" w:eastAsia="仿宋_GB2312" w:cs="Times New Roman"/>
          <w:szCs w:val="32"/>
        </w:rPr>
        <w:t>。</w:t>
      </w:r>
    </w:p>
    <w:p>
      <w:pPr>
        <w:widowControl w:val="0"/>
        <w:ind w:left="640"/>
        <w:rPr>
          <w:rFonts w:ascii="Times New Roman" w:hAnsi="Times New Roman" w:eastAsia="楷体" w:cs="Times New Roman"/>
          <w:szCs w:val="32"/>
        </w:rPr>
      </w:pPr>
      <w:r>
        <w:rPr>
          <w:rFonts w:hint="eastAsia" w:ascii="Times New Roman" w:hAnsi="Times New Roman" w:eastAsia="楷体" w:cs="Times New Roman"/>
          <w:szCs w:val="32"/>
        </w:rPr>
        <w:t>4.</w:t>
      </w:r>
      <w:r>
        <w:rPr>
          <w:rFonts w:ascii="Times New Roman" w:hAnsi="Times New Roman" w:eastAsia="楷体" w:cs="Times New Roman"/>
          <w:szCs w:val="32"/>
        </w:rPr>
        <w:t>加强承检机构考核管理。</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对承担本地区抽检任务的食品检验机构开展定期、不定期检查。每月组织抽查本地区内不少于5%的抽检数据，强化抽样信息、数据退修及问题发现率的考核，对承检机构的抽检监测工作过程不规范，实验室信息管理系统不健全，数据录入，退修率高以及违反相关规定等问题，采取通报、约谈等措施督促整改，直至取消承检资格。</w:t>
      </w:r>
    </w:p>
    <w:p>
      <w:pPr>
        <w:widowControl w:val="0"/>
        <w:ind w:firstLine="640" w:firstLineChars="200"/>
        <w:rPr>
          <w:rFonts w:ascii="Times New Roman" w:hAnsi="Times New Roman" w:eastAsia="楷体" w:cs="Times New Roman"/>
          <w:b/>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，食品抽检处</w:t>
      </w:r>
      <w:r>
        <w:rPr>
          <w:rFonts w:ascii="Times New Roman" w:hAnsi="Times New Roman" w:eastAsia="仿宋_GB2312" w:cs="Times New Roman"/>
          <w:szCs w:val="32"/>
        </w:rPr>
        <w:t>。</w:t>
      </w:r>
    </w:p>
    <w:p>
      <w:pPr>
        <w:widowControl w:val="0"/>
        <w:ind w:firstLine="640" w:firstLineChars="200"/>
        <w:rPr>
          <w:rFonts w:ascii="Times New Roman" w:hAnsi="Times New Roman" w:eastAsia="黑体" w:cs="Times New Roman"/>
          <w:szCs w:val="32"/>
        </w:rPr>
      </w:pPr>
      <w:r>
        <w:rPr>
          <w:rFonts w:ascii="Times New Roman" w:hAnsi="Times New Roman" w:eastAsia="黑体" w:cs="Times New Roman"/>
          <w:szCs w:val="32"/>
        </w:rPr>
        <w:t>七、切实加大食品安全执法办案力度</w:t>
      </w:r>
    </w:p>
    <w:p>
      <w:pPr>
        <w:widowControl w:val="0"/>
        <w:ind w:left="640" w:leftChars="200"/>
        <w:rPr>
          <w:rFonts w:ascii="Times New Roman" w:hAnsi="Times New Roman" w:eastAsia="楷体" w:cs="Times New Roman"/>
          <w:szCs w:val="32"/>
        </w:rPr>
      </w:pPr>
      <w:r>
        <w:rPr>
          <w:rFonts w:ascii="Times New Roman" w:hAnsi="Times New Roman" w:eastAsia="楷体" w:cs="Times New Roman"/>
          <w:szCs w:val="32"/>
        </w:rPr>
        <w:t>1</w:t>
      </w:r>
      <w:r>
        <w:rPr>
          <w:rFonts w:hint="eastAsia" w:ascii="Times New Roman" w:hAnsi="Times New Roman" w:eastAsia="楷体" w:cs="Times New Roman"/>
          <w:szCs w:val="32"/>
        </w:rPr>
        <w:t>.</w:t>
      </w:r>
      <w:r>
        <w:rPr>
          <w:rFonts w:ascii="Times New Roman" w:hAnsi="Times New Roman" w:eastAsia="楷体" w:cs="Times New Roman"/>
          <w:szCs w:val="32"/>
        </w:rPr>
        <w:t>依法查办各类违法行为。</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落实“处罚到人”、从业禁止、从重处罚有关规定，提高违法成本。严厉查处在食品中添加非食用物质、超范围超限量使用食品添加剂、经营未经检验检疫肉类（包括走私冻肉）、经营无合法来源证明的食品、生产经营宣称特殊功能的普通食品、生产经营假冒伪劣食品等违法行为。持续推进“长江禁捕打非断链”专项行动，打击野生动物违法违规交易行为。</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，执法稽查局</w:t>
      </w:r>
      <w:r>
        <w:rPr>
          <w:rFonts w:ascii="Times New Roman" w:hAnsi="Times New Roman" w:eastAsia="仿宋_GB2312" w:cs="Times New Roman"/>
          <w:szCs w:val="32"/>
        </w:rPr>
        <w:t>。</w:t>
      </w:r>
    </w:p>
    <w:p>
      <w:pPr>
        <w:widowControl w:val="0"/>
        <w:ind w:left="640"/>
        <w:rPr>
          <w:rFonts w:ascii="Times New Roman" w:hAnsi="Times New Roman" w:eastAsia="楷体" w:cs="Times New Roman"/>
          <w:szCs w:val="32"/>
        </w:rPr>
      </w:pPr>
      <w:r>
        <w:rPr>
          <w:rFonts w:hint="eastAsia" w:ascii="Times New Roman" w:hAnsi="Times New Roman" w:eastAsia="楷体" w:cs="Times New Roman"/>
          <w:szCs w:val="32"/>
        </w:rPr>
        <w:t>2.</w:t>
      </w:r>
      <w:r>
        <w:rPr>
          <w:rFonts w:ascii="Times New Roman" w:hAnsi="Times New Roman" w:eastAsia="楷体" w:cs="Times New Roman"/>
          <w:szCs w:val="32"/>
        </w:rPr>
        <w:t>加强行政执法与刑事司法衔接。</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完善行政执法与刑事司法衔接机制，做好涉案物品检验与认定、信息通报、涉案物品处置工作，严格落实案件移送工作机制，发现违法行为涉嫌犯罪的，按规定及时向公安机关移送涉嫌犯罪案件，严禁以罚代刑。</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，执法稽查局</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3.</w:t>
      </w:r>
      <w:r>
        <w:rPr>
          <w:rFonts w:ascii="Times New Roman" w:hAnsi="Times New Roman" w:eastAsia="楷体" w:cs="Times New Roman"/>
          <w:szCs w:val="32"/>
        </w:rPr>
        <w:t>加强食品安全投诉举报受理工作。</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充分运用12315平台，实现投诉举报信息集中统一流转，提高处理效能，投诉举报案件办结率100%，热线接听率达到85%以上。健全食品安全举报投诉奖励制度，依法依规落实举报奖励要求。</w:t>
      </w:r>
    </w:p>
    <w:p>
      <w:pPr>
        <w:widowControl w:val="0"/>
        <w:ind w:firstLine="640" w:firstLineChars="200"/>
        <w:rPr>
          <w:rFonts w:ascii="Times New Roman" w:hAnsi="Times New Roman" w:eastAsia="仿宋_GB2312" w:cs="Times New Roman"/>
          <w:b/>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，执法稽查局</w:t>
      </w:r>
      <w:r>
        <w:rPr>
          <w:rFonts w:hint="eastAsia" w:ascii="Times New Roman" w:hAnsi="Times New Roman" w:eastAsia="楷体" w:cs="Times New Roman"/>
          <w:szCs w:val="32"/>
        </w:rPr>
        <w:t>、市场中心按照职责分工</w:t>
      </w:r>
      <w:r>
        <w:rPr>
          <w:rFonts w:ascii="Times New Roman" w:hAnsi="Times New Roman" w:eastAsia="仿宋_GB2312" w:cs="Times New Roman"/>
          <w:szCs w:val="32"/>
        </w:rPr>
        <w:t>。</w:t>
      </w:r>
    </w:p>
    <w:p>
      <w:pPr>
        <w:widowControl w:val="0"/>
        <w:ind w:firstLine="640" w:firstLineChars="200"/>
        <w:rPr>
          <w:rFonts w:ascii="Times New Roman" w:hAnsi="Times New Roman" w:eastAsia="黑体" w:cs="Times New Roman"/>
          <w:szCs w:val="32"/>
        </w:rPr>
      </w:pPr>
      <w:r>
        <w:rPr>
          <w:rFonts w:ascii="Times New Roman" w:hAnsi="Times New Roman" w:eastAsia="黑体" w:cs="Times New Roman"/>
          <w:szCs w:val="32"/>
        </w:rPr>
        <w:t>八、持续深化“放管服”改革</w:t>
      </w:r>
    </w:p>
    <w:p>
      <w:pPr>
        <w:widowControl w:val="0"/>
        <w:ind w:firstLine="640" w:firstLineChars="200"/>
        <w:rPr>
          <w:rFonts w:ascii="Times New Roman" w:hAnsi="Times New Roman" w:eastAsia="楷体" w:cs="Times New Roman"/>
          <w:szCs w:val="32"/>
        </w:rPr>
      </w:pPr>
      <w:r>
        <w:rPr>
          <w:rFonts w:ascii="Times New Roman" w:hAnsi="Times New Roman" w:eastAsia="楷体" w:cs="Times New Roman"/>
          <w:szCs w:val="32"/>
        </w:rPr>
        <w:t>1</w:t>
      </w:r>
      <w:r>
        <w:rPr>
          <w:rFonts w:hint="eastAsia" w:ascii="Times New Roman" w:hAnsi="Times New Roman" w:eastAsia="楷体" w:cs="Times New Roman"/>
          <w:szCs w:val="32"/>
        </w:rPr>
        <w:t>.</w:t>
      </w:r>
      <w:r>
        <w:rPr>
          <w:rFonts w:ascii="Times New Roman" w:hAnsi="Times New Roman" w:eastAsia="楷体" w:cs="Times New Roman"/>
          <w:szCs w:val="32"/>
        </w:rPr>
        <w:t>深化食品生产经营许可改革。</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按照省局要求稳步推进保健食品注册品种清理换证工作。全市食品经营企业实施食品经营许可自我声明承诺换证。</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w:t>
      </w:r>
      <w:r>
        <w:rPr>
          <w:rFonts w:hint="eastAsia" w:ascii="Times New Roman" w:hAnsi="Times New Roman" w:eastAsia="楷体" w:cs="Times New Roman"/>
          <w:szCs w:val="32"/>
        </w:rPr>
        <w:t>注册审批处</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2.</w:t>
      </w:r>
      <w:r>
        <w:rPr>
          <w:rFonts w:ascii="Times New Roman" w:hAnsi="Times New Roman" w:eastAsia="楷体" w:cs="Times New Roman"/>
          <w:szCs w:val="32"/>
        </w:rPr>
        <w:t>推动建立食品安全地方标准。</w:t>
      </w:r>
    </w:p>
    <w:p>
      <w:pPr>
        <w:widowControl w:val="0"/>
        <w:ind w:firstLine="640" w:firstLineChars="200"/>
        <w:rPr>
          <w:rFonts w:ascii="Times New Roman" w:hAnsi="Times New Roman" w:eastAsia="楷体" w:cs="Times New Roman"/>
          <w:szCs w:val="32"/>
        </w:rPr>
      </w:pPr>
      <w:r>
        <w:rPr>
          <w:rFonts w:hint="eastAsia" w:ascii="Times New Roman" w:hAnsi="Times New Roman" w:eastAsia="仿宋_GB2312" w:cs="Times New Roman"/>
          <w:szCs w:val="32"/>
        </w:rPr>
        <w:t>推动落实辽宁省食品生产加工小作坊卫生规范、团餐服务安全管理规范、冷链食品安全追溯平台接口标准规范、保健食品经营规范、食品安全示范城市创建评价规范等规范。鼓励引导企业制定实施严于国家标准或地方标准的企业标准，加强食品安全地方标准宣贯培训。</w:t>
      </w:r>
    </w:p>
    <w:p>
      <w:pPr>
        <w:widowControl w:val="0"/>
        <w:ind w:firstLine="640" w:firstLineChars="200"/>
        <w:rPr>
          <w:rFonts w:ascii="Times New Roman" w:hAnsi="Times New Roman" w:eastAsia="仿宋_GB2312" w:cs="Times New Roman"/>
          <w:szCs w:val="32"/>
          <w:highlight w:val="yellow"/>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，食品生产处、</w:t>
      </w:r>
      <w:r>
        <w:rPr>
          <w:rFonts w:hint="eastAsia" w:ascii="Times New Roman" w:hAnsi="Times New Roman" w:eastAsia="楷体" w:cs="Times New Roman"/>
          <w:szCs w:val="32"/>
        </w:rPr>
        <w:t>食品流通处、食品餐饮处</w:t>
      </w:r>
      <w:r>
        <w:rPr>
          <w:rFonts w:ascii="Times New Roman" w:hAnsi="Times New Roman" w:eastAsia="楷体" w:cs="Times New Roman"/>
          <w:szCs w:val="32"/>
        </w:rPr>
        <w:t>、食品抽检处按职责分工负责</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3.</w:t>
      </w:r>
      <w:r>
        <w:rPr>
          <w:rFonts w:ascii="Times New Roman" w:hAnsi="Times New Roman" w:eastAsia="楷体" w:cs="Times New Roman"/>
          <w:szCs w:val="32"/>
        </w:rPr>
        <w:t>推动食品产业高质量发展。</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注重问题导向，在各类监管执法和专项治理行动中，大力规范食品生产经营者经营行为，不断提升全市食品产业发展水平。不断加强政策扶持，发挥示范引领作用，鼓励食品企业延伸产业链条，推动白酒和肉类小作坊、酸菜产业提档升级，全力维护产业链、供应链安全。鼓励企业加大食品安全管理投入，引导社会资本进入食品安全专业化服务领域，构建多元化投入保障机制。</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，食品生产处、</w:t>
      </w:r>
      <w:r>
        <w:rPr>
          <w:rFonts w:hint="eastAsia" w:ascii="Times New Roman" w:hAnsi="Times New Roman" w:eastAsia="楷体" w:cs="Times New Roman"/>
          <w:szCs w:val="32"/>
        </w:rPr>
        <w:t>食品流通处、食品餐饮处</w:t>
      </w:r>
      <w:r>
        <w:rPr>
          <w:rFonts w:ascii="Times New Roman" w:hAnsi="Times New Roman" w:eastAsia="楷体" w:cs="Times New Roman"/>
          <w:szCs w:val="32"/>
        </w:rPr>
        <w:t>、食品抽检处按职责分工负责</w:t>
      </w:r>
      <w:r>
        <w:rPr>
          <w:rFonts w:ascii="Times New Roman" w:hAnsi="Times New Roman" w:eastAsia="仿宋_GB2312" w:cs="Times New Roman"/>
          <w:szCs w:val="32"/>
        </w:rPr>
        <w:t>。</w:t>
      </w:r>
    </w:p>
    <w:p>
      <w:pPr>
        <w:widowControl w:val="0"/>
        <w:ind w:firstLine="640" w:firstLineChars="200"/>
        <w:rPr>
          <w:rFonts w:ascii="Times New Roman" w:hAnsi="Times New Roman" w:eastAsia="黑体" w:cs="Times New Roman"/>
          <w:szCs w:val="32"/>
        </w:rPr>
      </w:pPr>
      <w:r>
        <w:rPr>
          <w:rFonts w:ascii="Times New Roman" w:hAnsi="Times New Roman" w:eastAsia="黑体" w:cs="Times New Roman"/>
          <w:szCs w:val="32"/>
        </w:rPr>
        <w:t>九、积极落实食安委办公室工作职责</w:t>
      </w:r>
    </w:p>
    <w:p>
      <w:pPr>
        <w:widowControl w:val="0"/>
        <w:ind w:firstLine="640" w:firstLineChars="200"/>
        <w:rPr>
          <w:rFonts w:ascii="Times New Roman" w:hAnsi="Times New Roman" w:eastAsia="楷体" w:cs="Times New Roman"/>
          <w:szCs w:val="32"/>
        </w:rPr>
      </w:pPr>
      <w:r>
        <w:rPr>
          <w:rFonts w:ascii="Times New Roman" w:hAnsi="Times New Roman" w:eastAsia="楷体" w:cs="Times New Roman"/>
          <w:szCs w:val="32"/>
        </w:rPr>
        <w:t>1</w:t>
      </w:r>
      <w:r>
        <w:rPr>
          <w:rFonts w:hint="eastAsia" w:ascii="Times New Roman" w:hAnsi="Times New Roman" w:eastAsia="楷体" w:cs="Times New Roman"/>
          <w:szCs w:val="32"/>
        </w:rPr>
        <w:t>.</w:t>
      </w:r>
      <w:r>
        <w:rPr>
          <w:rFonts w:ascii="Times New Roman" w:hAnsi="Times New Roman" w:eastAsia="楷体" w:cs="Times New Roman"/>
          <w:szCs w:val="32"/>
        </w:rPr>
        <w:t>强化食安办统筹协调作用。</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深入组织贯彻落实党中央、国务院、省委、省政府决策部署，落实《中共中央国务院关于深化改革加强食品安全工作的意见》的年度工作台账和2021年全市食品安全重点工作安排。及时调整食品安全委员会及办公室组成，建立各成员单位信息通报、形势会商、风险交流等制度，并定期组织实施。健全工作协调联动机制，协调解决跨部门跨地区重大食品安全问题。按照规定做好年度食品安全情况报告工作。</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，食品协调处</w:t>
      </w:r>
      <w:r>
        <w:rPr>
          <w:rFonts w:ascii="Times New Roman" w:hAnsi="Times New Roman" w:eastAsia="仿宋_GB2312" w:cs="Times New Roman"/>
          <w:szCs w:val="32"/>
        </w:rPr>
        <w:t>。</w:t>
      </w:r>
    </w:p>
    <w:p>
      <w:pPr>
        <w:widowControl w:val="0"/>
        <w:ind w:left="640"/>
        <w:rPr>
          <w:rFonts w:ascii="Times New Roman" w:hAnsi="Times New Roman" w:eastAsia="楷体" w:cs="Times New Roman"/>
          <w:szCs w:val="32"/>
        </w:rPr>
      </w:pPr>
      <w:r>
        <w:rPr>
          <w:rFonts w:hint="eastAsia" w:ascii="Times New Roman" w:hAnsi="Times New Roman" w:eastAsia="楷体" w:cs="Times New Roman"/>
          <w:szCs w:val="32"/>
        </w:rPr>
        <w:t>2.</w:t>
      </w:r>
      <w:r>
        <w:rPr>
          <w:rFonts w:ascii="Times New Roman" w:hAnsi="Times New Roman" w:eastAsia="楷体" w:cs="Times New Roman"/>
          <w:szCs w:val="32"/>
        </w:rPr>
        <w:t>强化食品安全评议考核。</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完善对区县（市）</w:t>
      </w:r>
      <w:r>
        <w:rPr>
          <w:rFonts w:hint="eastAsia" w:ascii="Times New Roman" w:hAnsi="Times New Roman" w:eastAsia="仿宋_GB2312" w:cs="Times New Roman"/>
          <w:szCs w:val="32"/>
          <w:lang w:eastAsia="zh-CN"/>
        </w:rPr>
        <w:t>党委、政府</w:t>
      </w:r>
      <w:bookmarkStart w:id="0" w:name="_GoBack"/>
      <w:bookmarkEnd w:id="0"/>
      <w:r>
        <w:rPr>
          <w:rFonts w:hint="eastAsia" w:ascii="Times New Roman" w:hAnsi="Times New Roman" w:eastAsia="仿宋_GB2312" w:cs="Times New Roman"/>
          <w:szCs w:val="32"/>
        </w:rPr>
        <w:t>和成员单位的食品安全工作评议考核制度，增加日常督查考核内容，压实各地区、各部门属地责任、监督管理责任和行业管理责任。</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r>
        <w:rPr>
          <w:rFonts w:ascii="Times New Roman" w:hAnsi="Times New Roman" w:eastAsia="楷体" w:cs="Times New Roman"/>
          <w:szCs w:val="32"/>
        </w:rPr>
        <w:t>，食品协调处</w:t>
      </w:r>
      <w:r>
        <w:rPr>
          <w:rFonts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3.</w:t>
      </w:r>
      <w:r>
        <w:rPr>
          <w:rFonts w:ascii="Times New Roman" w:hAnsi="Times New Roman" w:eastAsia="楷体" w:cs="Times New Roman"/>
          <w:szCs w:val="32"/>
        </w:rPr>
        <w:t>推进食品安全社会共治。</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持续开展“食品安全宣传周”和食品安全进农村、进校园、进企业、进社区等宣传活动，做好《食安辽宁》栏目。加强专兼职食品安全协管员队伍建设。</w:t>
      </w:r>
      <w:r>
        <w:rPr>
          <w:rFonts w:hint="eastAsia" w:ascii="仿宋_GB2312" w:hAnsi="仿宋_GB2312" w:eastAsia="仿宋_GB2312" w:cs="仿宋_GB2312"/>
          <w:szCs w:val="32"/>
        </w:rPr>
        <w:t>开展食品安全志愿者培训，组织志愿服务活动，组建食安沈阳网络志愿者队伍，扩充志愿服务力量。</w:t>
      </w:r>
      <w:r>
        <w:rPr>
          <w:rFonts w:hint="eastAsia" w:ascii="仿宋_GB2312" w:hAnsi="仿宋" w:eastAsia="仿宋_GB2312"/>
          <w:szCs w:val="32"/>
        </w:rPr>
        <w:t>对已聘任的各级社会监督员进行培训，健全社会监督机制，广泛吸纳社会监督员反映的食品安全民生和民意诉求，以问题为导向，精准治理，形成共建共享食品安全社会氛围。</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责任单位：各区、县（市）市场监管局，食品协调处、食品生产处、流通处、餐饮处、新闻宣传处</w:t>
      </w:r>
      <w:r>
        <w:rPr>
          <w:rFonts w:ascii="Times New Roman" w:hAnsi="Times New Roman" w:eastAsia="仿宋_GB2312" w:cs="Times New Roman"/>
          <w:szCs w:val="32"/>
        </w:rPr>
        <w:t>。</w:t>
      </w:r>
    </w:p>
    <w:p>
      <w:pPr>
        <w:widowControl w:val="0"/>
        <w:ind w:firstLine="640" w:firstLineChars="200"/>
        <w:rPr>
          <w:rFonts w:ascii="Times New Roman" w:hAnsi="Times New Roman" w:eastAsia="黑体" w:cs="Times New Roman"/>
          <w:szCs w:val="32"/>
        </w:rPr>
      </w:pPr>
      <w:r>
        <w:rPr>
          <w:rFonts w:ascii="Times New Roman" w:hAnsi="Times New Roman" w:eastAsia="黑体" w:cs="Times New Roman"/>
          <w:szCs w:val="32"/>
        </w:rPr>
        <w:t>十、工作要求</w:t>
      </w:r>
    </w:p>
    <w:p>
      <w:pPr>
        <w:widowControl w:val="0"/>
        <w:ind w:firstLine="640" w:firstLineChars="200"/>
        <w:rPr>
          <w:rFonts w:ascii="Times New Roman" w:hAnsi="Times New Roman" w:eastAsia="仿宋_GB2312" w:cs="Times New Roman"/>
          <w:szCs w:val="32"/>
        </w:rPr>
      </w:pPr>
      <w:r>
        <w:rPr>
          <w:rFonts w:ascii="Times New Roman" w:hAnsi="Times New Roman" w:eastAsia="楷体" w:cs="Times New Roman"/>
          <w:szCs w:val="32"/>
        </w:rPr>
        <w:t>1</w:t>
      </w:r>
      <w:r>
        <w:rPr>
          <w:rFonts w:hint="eastAsia" w:ascii="Times New Roman" w:hAnsi="Times New Roman" w:eastAsia="楷体" w:cs="Times New Roman"/>
          <w:szCs w:val="32"/>
        </w:rPr>
        <w:t>.</w:t>
      </w:r>
      <w:r>
        <w:rPr>
          <w:rFonts w:ascii="Times New Roman" w:hAnsi="Times New Roman" w:eastAsia="楷体" w:cs="Times New Roman"/>
          <w:szCs w:val="32"/>
        </w:rPr>
        <w:t>加强组织领导。</w:t>
      </w:r>
      <w:r>
        <w:rPr>
          <w:rFonts w:ascii="Times New Roman" w:hAnsi="Times New Roman" w:eastAsia="仿宋_GB2312" w:cs="Times New Roman"/>
          <w:szCs w:val="32"/>
        </w:rPr>
        <w:t>各</w:t>
      </w:r>
      <w:r>
        <w:rPr>
          <w:rFonts w:hint="eastAsia" w:ascii="Times New Roman" w:hAnsi="Times New Roman" w:eastAsia="仿宋_GB2312" w:cs="Times New Roman"/>
          <w:szCs w:val="32"/>
        </w:rPr>
        <w:t>区县（市）</w:t>
      </w:r>
      <w:r>
        <w:rPr>
          <w:rFonts w:ascii="Times New Roman" w:hAnsi="Times New Roman" w:eastAsia="仿宋_GB2312" w:cs="Times New Roman"/>
          <w:szCs w:val="32"/>
        </w:rPr>
        <w:t>市场监管部门要高度重视食品安全建设年工作，主要负责人要亲自抓、负总责。要结合</w:t>
      </w:r>
      <w:r>
        <w:rPr>
          <w:rFonts w:hint="eastAsia" w:ascii="Times New Roman" w:hAnsi="Times New Roman" w:eastAsia="仿宋_GB2312" w:cs="Times New Roman"/>
          <w:szCs w:val="32"/>
        </w:rPr>
        <w:t>本</w:t>
      </w:r>
      <w:r>
        <w:rPr>
          <w:rFonts w:ascii="Times New Roman" w:hAnsi="Times New Roman" w:eastAsia="仿宋_GB2312" w:cs="Times New Roman"/>
          <w:szCs w:val="32"/>
        </w:rPr>
        <w:t>地</w:t>
      </w:r>
      <w:r>
        <w:rPr>
          <w:rFonts w:hint="eastAsia" w:ascii="Times New Roman" w:hAnsi="Times New Roman" w:eastAsia="仿宋_GB2312" w:cs="Times New Roman"/>
          <w:szCs w:val="32"/>
        </w:rPr>
        <w:t>区实</w:t>
      </w:r>
      <w:r>
        <w:rPr>
          <w:rFonts w:ascii="Times New Roman" w:hAnsi="Times New Roman" w:eastAsia="仿宋_GB2312" w:cs="Times New Roman"/>
          <w:szCs w:val="32"/>
        </w:rPr>
        <w:t>际细化任务分工，落实工作责任，鼓励创</w:t>
      </w:r>
      <w:r>
        <w:rPr>
          <w:rFonts w:hint="eastAsia" w:ascii="Times New Roman" w:hAnsi="Times New Roman" w:eastAsia="仿宋_GB2312" w:cs="Times New Roman"/>
          <w:szCs w:val="32"/>
        </w:rPr>
        <w:t>新</w:t>
      </w:r>
      <w:r>
        <w:rPr>
          <w:rFonts w:ascii="Times New Roman" w:hAnsi="Times New Roman" w:eastAsia="仿宋_GB2312" w:cs="Times New Roman"/>
          <w:szCs w:val="32"/>
        </w:rPr>
        <w:t>引领</w:t>
      </w:r>
      <w:r>
        <w:rPr>
          <w:rFonts w:hint="eastAsia" w:ascii="Times New Roman" w:hAnsi="Times New Roman" w:eastAsia="仿宋_GB2312" w:cs="Times New Roman"/>
          <w:szCs w:val="32"/>
        </w:rPr>
        <w:t>，</w:t>
      </w:r>
      <w:r>
        <w:rPr>
          <w:rFonts w:ascii="Times New Roman" w:hAnsi="Times New Roman" w:eastAsia="仿宋_GB2312" w:cs="Times New Roman"/>
          <w:szCs w:val="32"/>
        </w:rPr>
        <w:t>突出</w:t>
      </w:r>
      <w:r>
        <w:rPr>
          <w:rFonts w:hint="eastAsia" w:ascii="Times New Roman" w:hAnsi="Times New Roman" w:eastAsia="仿宋_GB2312" w:cs="Times New Roman"/>
          <w:szCs w:val="32"/>
        </w:rPr>
        <w:t>地区</w:t>
      </w:r>
      <w:r>
        <w:rPr>
          <w:rFonts w:ascii="Times New Roman" w:hAnsi="Times New Roman" w:eastAsia="仿宋_GB2312" w:cs="Times New Roman"/>
          <w:szCs w:val="32"/>
        </w:rPr>
        <w:t>特色，采取有效举措部署和开展食品安全建设年工作。要主动向当地政府报告食品安全建设年部署和开展情况，及时研究解决工作中遇到的问题，确保2021年食品安全建设年工作任务落实到位</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2.</w:t>
      </w:r>
      <w:r>
        <w:rPr>
          <w:rFonts w:ascii="Times New Roman" w:hAnsi="Times New Roman" w:eastAsia="楷体" w:cs="Times New Roman"/>
          <w:szCs w:val="32"/>
        </w:rPr>
        <w:t>强化绩效考核。</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食品安全建设年工作将作为对各地区食品安全工作考核的重要依据。</w:t>
      </w:r>
      <w:r>
        <w:rPr>
          <w:rFonts w:ascii="Times New Roman" w:hAnsi="Times New Roman" w:eastAsia="仿宋_GB2312" w:cs="Times New Roman"/>
          <w:szCs w:val="32"/>
        </w:rPr>
        <w:t>各</w:t>
      </w:r>
      <w:r>
        <w:rPr>
          <w:rFonts w:hint="eastAsia" w:ascii="Times New Roman" w:hAnsi="Times New Roman" w:eastAsia="仿宋_GB2312" w:cs="Times New Roman"/>
          <w:szCs w:val="32"/>
        </w:rPr>
        <w:t>区、县（市）</w:t>
      </w:r>
      <w:r>
        <w:rPr>
          <w:rFonts w:ascii="Times New Roman" w:hAnsi="Times New Roman" w:eastAsia="仿宋_GB2312" w:cs="Times New Roman"/>
          <w:szCs w:val="32"/>
        </w:rPr>
        <w:t>市场监管部门要采取明</w:t>
      </w:r>
      <w:r>
        <w:rPr>
          <w:rFonts w:hint="eastAsia" w:ascii="Times New Roman" w:hAnsi="Times New Roman" w:eastAsia="仿宋_GB2312" w:cs="Times New Roman"/>
          <w:szCs w:val="32"/>
        </w:rPr>
        <w:t>查</w:t>
      </w:r>
      <w:r>
        <w:rPr>
          <w:rFonts w:ascii="Times New Roman" w:hAnsi="Times New Roman" w:eastAsia="仿宋_GB2312" w:cs="Times New Roman"/>
          <w:szCs w:val="32"/>
        </w:rPr>
        <w:t>暗访形式，不定期对本地区工作情况进行检查</w:t>
      </w:r>
      <w:r>
        <w:rPr>
          <w:rFonts w:hint="eastAsia" w:ascii="Times New Roman" w:hAnsi="Times New Roman" w:eastAsia="仿宋_GB2312" w:cs="Times New Roman"/>
          <w:szCs w:val="32"/>
        </w:rPr>
        <w:t>。</w:t>
      </w:r>
    </w:p>
    <w:p>
      <w:pPr>
        <w:widowControl w:val="0"/>
        <w:ind w:firstLine="640" w:firstLine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责任单位：各区、县（市）市场监管局，市局相关处室</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楷体" w:cs="Times New Roman"/>
          <w:szCs w:val="32"/>
        </w:rPr>
        <w:t>3.</w:t>
      </w:r>
      <w:r>
        <w:rPr>
          <w:rFonts w:ascii="Times New Roman" w:hAnsi="Times New Roman" w:eastAsia="楷体" w:cs="Times New Roman"/>
          <w:szCs w:val="32"/>
        </w:rPr>
        <w:t>强化信息报送。</w:t>
      </w:r>
      <w:r>
        <w:rPr>
          <w:rFonts w:hint="eastAsia" w:ascii="Times New Roman" w:hAnsi="Times New Roman" w:eastAsia="楷体" w:cs="Times New Roman"/>
          <w:szCs w:val="32"/>
        </w:rPr>
        <w:t>请</w:t>
      </w:r>
      <w:r>
        <w:rPr>
          <w:rFonts w:ascii="Times New Roman" w:hAnsi="Times New Roman" w:eastAsia="仿宋_GB2312" w:cs="Times New Roman"/>
          <w:szCs w:val="32"/>
        </w:rPr>
        <w:t>及时对口报送工作各类信息，重大情况和紧急信息随时报告。</w:t>
      </w:r>
      <w:r>
        <w:rPr>
          <w:rFonts w:hint="eastAsia" w:ascii="Times New Roman" w:hAnsi="Times New Roman" w:eastAsia="仿宋_GB2312" w:cs="Times New Roman"/>
          <w:szCs w:val="32"/>
        </w:rPr>
        <w:t>请市局相关处室</w:t>
      </w:r>
      <w:r>
        <w:rPr>
          <w:rFonts w:ascii="Times New Roman" w:hAnsi="Times New Roman" w:eastAsia="仿宋_GB2312" w:cs="Times New Roman"/>
          <w:szCs w:val="32"/>
        </w:rPr>
        <w:t>分别于5月</w:t>
      </w:r>
      <w:r>
        <w:rPr>
          <w:rFonts w:hint="eastAsia" w:ascii="Times New Roman" w:hAnsi="Times New Roman" w:eastAsia="仿宋_GB2312" w:cs="Times New Roman"/>
          <w:szCs w:val="32"/>
        </w:rPr>
        <w:t>18</w:t>
      </w:r>
      <w:r>
        <w:rPr>
          <w:rFonts w:ascii="Times New Roman" w:hAnsi="Times New Roman" w:eastAsia="仿宋_GB2312" w:cs="Times New Roman"/>
          <w:szCs w:val="32"/>
        </w:rPr>
        <w:t>日、</w:t>
      </w:r>
      <w:r>
        <w:rPr>
          <w:rFonts w:hint="eastAsia" w:ascii="Times New Roman" w:hAnsi="Times New Roman" w:eastAsia="仿宋_GB2312" w:cs="Times New Roman"/>
          <w:szCs w:val="32"/>
        </w:rPr>
        <w:t>8</w:t>
      </w:r>
      <w:r>
        <w:rPr>
          <w:rFonts w:ascii="Times New Roman" w:hAnsi="Times New Roman" w:eastAsia="仿宋_GB2312" w:cs="Times New Roman"/>
          <w:szCs w:val="32"/>
        </w:rPr>
        <w:t>月</w:t>
      </w:r>
      <w:r>
        <w:rPr>
          <w:rFonts w:hint="eastAsia" w:ascii="Times New Roman" w:hAnsi="Times New Roman" w:eastAsia="仿宋_GB2312" w:cs="Times New Roman"/>
          <w:szCs w:val="32"/>
        </w:rPr>
        <w:t>30</w:t>
      </w:r>
      <w:r>
        <w:rPr>
          <w:rFonts w:ascii="Times New Roman" w:hAnsi="Times New Roman" w:eastAsia="仿宋_GB2312" w:cs="Times New Roman"/>
          <w:szCs w:val="32"/>
        </w:rPr>
        <w:t>日</w:t>
      </w:r>
      <w:r>
        <w:rPr>
          <w:rFonts w:hint="eastAsia" w:ascii="Times New Roman" w:hAnsi="Times New Roman" w:eastAsia="仿宋_GB2312" w:cs="Times New Roman"/>
          <w:szCs w:val="32"/>
        </w:rPr>
        <w:t>、</w:t>
      </w:r>
      <w:r>
        <w:rPr>
          <w:rFonts w:ascii="Times New Roman" w:hAnsi="Times New Roman" w:eastAsia="仿宋_GB2312" w:cs="Times New Roman"/>
          <w:szCs w:val="32"/>
        </w:rPr>
        <w:t>11月</w:t>
      </w:r>
      <w:r>
        <w:rPr>
          <w:rFonts w:hint="eastAsia" w:ascii="Times New Roman" w:hAnsi="Times New Roman" w:eastAsia="仿宋_GB2312" w:cs="Times New Roman"/>
          <w:szCs w:val="32"/>
        </w:rPr>
        <w:t>3</w:t>
      </w:r>
      <w:r>
        <w:rPr>
          <w:rFonts w:ascii="Times New Roman" w:hAnsi="Times New Roman" w:eastAsia="仿宋_GB2312" w:cs="Times New Roman"/>
          <w:szCs w:val="32"/>
        </w:rPr>
        <w:t>日前逐项向</w:t>
      </w:r>
      <w:r>
        <w:rPr>
          <w:rFonts w:hint="eastAsia" w:ascii="Times New Roman" w:hAnsi="Times New Roman" w:eastAsia="仿宋_GB2312" w:cs="Times New Roman"/>
          <w:szCs w:val="32"/>
        </w:rPr>
        <w:t>食品安全协调处</w:t>
      </w:r>
      <w:r>
        <w:rPr>
          <w:rFonts w:ascii="Times New Roman" w:hAnsi="Times New Roman" w:eastAsia="仿宋_GB2312" w:cs="Times New Roman"/>
          <w:szCs w:val="32"/>
        </w:rPr>
        <w:t>报送工作</w:t>
      </w:r>
      <w:r>
        <w:rPr>
          <w:rFonts w:hint="eastAsia" w:ascii="Times New Roman" w:hAnsi="Times New Roman" w:eastAsia="仿宋_GB2312" w:cs="Times New Roman"/>
          <w:szCs w:val="32"/>
        </w:rPr>
        <w:t>总结，食品安全协调处将综合汇总形成我市市场监管系统报告报送省局。</w:t>
      </w:r>
    </w:p>
    <w:p>
      <w:pPr>
        <w:widowControl w:val="0"/>
        <w:ind w:left="640" w:leftChars="200"/>
        <w:rPr>
          <w:rFonts w:ascii="Times New Roman" w:hAnsi="Times New Roman" w:eastAsia="楷体" w:cs="Times New Roman"/>
          <w:szCs w:val="32"/>
        </w:rPr>
      </w:pPr>
      <w:r>
        <w:rPr>
          <w:rFonts w:hint="eastAsia" w:ascii="Times New Roman" w:hAnsi="Times New Roman" w:eastAsia="楷体" w:cs="Times New Roman"/>
          <w:szCs w:val="32"/>
        </w:rPr>
        <w:t>责任单位：各区、县（市）市场监管局，市局相关处室</w:t>
      </w:r>
    </w:p>
    <w:p>
      <w:pPr>
        <w:widowControl w:val="0"/>
        <w:ind w:left="640" w:leftChars="200"/>
        <w:rPr>
          <w:rFonts w:ascii="Times New Roman" w:hAnsi="Times New Roman" w:eastAsia="楷体" w:cs="Times New Roman"/>
          <w:szCs w:val="32"/>
        </w:rPr>
      </w:pP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食品安全协调处联系人：马蓉   电话：24011491</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食品生产处联系人：</w:t>
      </w:r>
      <w:r>
        <w:rPr>
          <w:rFonts w:hint="eastAsia" w:ascii="Times New Roman" w:hAnsi="Times New Roman" w:eastAsia="仿宋_GB2312" w:cs="Times New Roman"/>
        </w:rPr>
        <w:t>孙佳  电话：24011330</w:t>
      </w:r>
    </w:p>
    <w:p>
      <w:pPr>
        <w:widowControl w:val="0"/>
        <w:wordWrap w:val="0"/>
        <w:ind w:firstLine="640" w:firstLineChars="200"/>
        <w:rPr>
          <w:rFonts w:ascii="Times New Roman" w:hAnsi="Times New Roman" w:eastAsia="仿宋_GB2312" w:cs="Times New Roman"/>
        </w:rPr>
      </w:pPr>
      <w:r>
        <w:rPr>
          <w:rFonts w:hint="eastAsia" w:ascii="Times New Roman" w:hAnsi="Times New Roman" w:eastAsia="仿宋_GB2312" w:cs="Times New Roman"/>
        </w:rPr>
        <w:t>食品流通处联系人：王今颖  电话：24011151</w:t>
      </w:r>
    </w:p>
    <w:p>
      <w:pPr>
        <w:widowControl w:val="0"/>
        <w:wordWrap w:val="0"/>
        <w:ind w:firstLine="640" w:firstLineChars="200"/>
        <w:rPr>
          <w:rFonts w:ascii="Times New Roman" w:hAnsi="Times New Roman" w:eastAsia="仿宋_GB2312" w:cs="Times New Roman"/>
        </w:rPr>
      </w:pPr>
      <w:r>
        <w:rPr>
          <w:rFonts w:hint="eastAsia" w:ascii="Times New Roman" w:hAnsi="Times New Roman" w:eastAsia="仿宋_GB2312" w:cs="Times New Roman"/>
        </w:rPr>
        <w:t>食品餐饮处联系人：董银萍  电话：24011115</w:t>
      </w:r>
    </w:p>
    <w:p>
      <w:pPr>
        <w:widowControl w:val="0"/>
        <w:wordWrap w:val="0"/>
        <w:ind w:firstLine="640" w:firstLineChars="200"/>
        <w:rPr>
          <w:rFonts w:ascii="Times New Roman" w:hAnsi="Times New Roman" w:eastAsia="仿宋_GB2312" w:cs="Times New Roman"/>
        </w:rPr>
      </w:pPr>
      <w:r>
        <w:rPr>
          <w:rFonts w:hint="eastAsia" w:ascii="Times New Roman" w:hAnsi="Times New Roman" w:eastAsia="仿宋_GB2312" w:cs="Times New Roman"/>
        </w:rPr>
        <w:t>食品抽检处联系人：刘玉晖  电话：24011849</w:t>
      </w:r>
    </w:p>
    <w:p>
      <w:pPr>
        <w:widowControl w:val="0"/>
        <w:wordWrap w:val="0"/>
        <w:ind w:firstLine="640" w:firstLineChars="200"/>
        <w:rPr>
          <w:rFonts w:ascii="Times New Roman" w:hAnsi="Times New Roman" w:eastAsia="仿宋_GB2312" w:cs="Times New Roman"/>
        </w:rPr>
      </w:pPr>
      <w:r>
        <w:rPr>
          <w:rFonts w:hint="eastAsia" w:ascii="Times New Roman" w:hAnsi="Times New Roman" w:eastAsia="仿宋_GB2312" w:cs="Times New Roman"/>
        </w:rPr>
        <w:t>执法稽查局联系人：俞昭卿  电话：15004026133</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登记注册审批处联系人：孙梦溪  电话：83963813</w:t>
      </w:r>
    </w:p>
    <w:p>
      <w:pPr>
        <w:widowControl w:val="0"/>
        <w:wordWrap w:val="0"/>
        <w:ind w:firstLine="640" w:firstLineChars="200"/>
        <w:rPr>
          <w:rFonts w:ascii="Times New Roman" w:hAnsi="Times New Roman" w:eastAsia="仿宋_GB2312" w:cs="Times New Roman"/>
        </w:rPr>
      </w:pPr>
      <w:r>
        <w:rPr>
          <w:rFonts w:hint="eastAsia" w:ascii="Times New Roman" w:hAnsi="Times New Roman" w:eastAsia="仿宋_GB2312" w:cs="Times New Roman"/>
        </w:rPr>
        <w:t>网络交易监管处联系人：李晶颖  电话：24011680</w:t>
      </w:r>
    </w:p>
    <w:p>
      <w:pPr>
        <w:widowControl w:val="0"/>
        <w:wordWrap w:val="0"/>
        <w:ind w:firstLine="640" w:firstLineChars="200"/>
        <w:rPr>
          <w:rFonts w:ascii="Times New Roman" w:hAnsi="Times New Roman" w:eastAsia="仿宋_GB2312" w:cs="Times New Roman"/>
        </w:rPr>
      </w:pPr>
      <w:r>
        <w:rPr>
          <w:rFonts w:hint="eastAsia" w:ascii="Times New Roman" w:hAnsi="Times New Roman" w:eastAsia="仿宋_GB2312" w:cs="Times New Roman"/>
        </w:rPr>
        <w:t>应急预警处联系人：刘华仲  电话：24011640</w:t>
      </w:r>
    </w:p>
    <w:p>
      <w:pPr>
        <w:widowControl w:val="0"/>
        <w:wordWrap w:val="0"/>
        <w:ind w:firstLine="640" w:firstLineChars="200"/>
        <w:rPr>
          <w:rFonts w:ascii="Times New Roman" w:hAnsi="Times New Roman" w:eastAsia="仿宋_GB2312" w:cs="Times New Roman"/>
        </w:rPr>
      </w:pPr>
      <w:r>
        <w:rPr>
          <w:rFonts w:hint="eastAsia" w:ascii="Times New Roman" w:hAnsi="Times New Roman" w:eastAsia="仿宋_GB2312" w:cs="Times New Roman"/>
        </w:rPr>
        <w:t>新闻宣传处联系人：孙勃  电话：24011861</w:t>
      </w:r>
    </w:p>
    <w:p>
      <w:pPr>
        <w:widowControl w:val="0"/>
        <w:ind w:firstLine="640" w:firstLineChars="200"/>
        <w:rPr>
          <w:rFonts w:hint="eastAsia" w:ascii="Times New Roman" w:hAnsi="Times New Roman" w:eastAsia="仿宋_GB2312" w:cs="Times New Roman"/>
          <w:lang w:val="en-US" w:eastAsia="zh-CN"/>
        </w:rPr>
      </w:pPr>
      <w:r>
        <w:rPr>
          <w:rFonts w:hint="eastAsia" w:ascii="Times New Roman" w:hAnsi="Times New Roman" w:eastAsia="仿宋_GB2312" w:cs="Times New Roman"/>
          <w:szCs w:val="32"/>
        </w:rPr>
        <w:t>市场中心联系人：</w:t>
      </w:r>
      <w:r>
        <w:rPr>
          <w:rFonts w:hint="eastAsia" w:ascii="Times New Roman" w:hAnsi="Times New Roman" w:eastAsia="仿宋_GB2312" w:cs="Times New Roman"/>
          <w:lang w:eastAsia="zh-CN"/>
        </w:rPr>
        <w:t>唐尧</w:t>
      </w:r>
      <w:r>
        <w:rPr>
          <w:rFonts w:hint="eastAsia" w:ascii="Times New Roman" w:hAnsi="Times New Roman" w:eastAsia="仿宋_GB2312" w:cs="Times New Roman"/>
        </w:rPr>
        <w:t xml:space="preserve">  电话：</w:t>
      </w:r>
      <w:r>
        <w:rPr>
          <w:rFonts w:hint="eastAsia" w:ascii="Times New Roman" w:hAnsi="Times New Roman" w:eastAsia="仿宋_GB2312" w:cs="Times New Roman"/>
          <w:lang w:val="en-US" w:eastAsia="zh-CN"/>
        </w:rPr>
        <w:t>83210415</w:t>
      </w:r>
    </w:p>
    <w:p>
      <w:pPr>
        <w:widowControl w:val="0"/>
        <w:ind w:firstLine="640" w:firstLineChars="200"/>
        <w:rPr>
          <w:rFonts w:ascii="Times New Roman" w:hAnsi="Times New Roman" w:eastAsia="仿宋_GB2312" w:cs="Times New Roman"/>
          <w:szCs w:val="32"/>
        </w:rPr>
      </w:pPr>
      <w:r>
        <w:rPr>
          <w:rFonts w:hint="eastAsia" w:ascii="Times New Roman" w:hAnsi="Times New Roman" w:eastAsia="仿宋_GB2312" w:cs="Times New Roman"/>
          <w:szCs w:val="32"/>
        </w:rPr>
        <w:t>食品安全协调处邮箱：</w:t>
      </w:r>
      <w:r>
        <w:fldChar w:fldCharType="begin"/>
      </w:r>
      <w:r>
        <w:instrText xml:space="preserve"> HYPERLINK "mailto:syspcc2018@163.com" </w:instrText>
      </w:r>
      <w:r>
        <w:fldChar w:fldCharType="separate"/>
      </w:r>
      <w:r>
        <w:rPr>
          <w:rStyle w:val="5"/>
          <w:rFonts w:hint="eastAsia" w:ascii="Times New Roman" w:hAnsi="Times New Roman" w:eastAsia="仿宋_GB2312" w:cs="Times New Roman"/>
          <w:color w:val="auto"/>
          <w:szCs w:val="32"/>
          <w:u w:val="none"/>
        </w:rPr>
        <w:t>syspcc2018@163.com</w:t>
      </w:r>
      <w:r>
        <w:rPr>
          <w:rStyle w:val="5"/>
          <w:rFonts w:hint="eastAsia" w:ascii="Times New Roman" w:hAnsi="Times New Roman" w:eastAsia="仿宋_GB2312" w:cs="Times New Roman"/>
          <w:color w:val="auto"/>
          <w:szCs w:val="32"/>
          <w:u w:val="none"/>
        </w:rPr>
        <w:fldChar w:fldCharType="end"/>
      </w:r>
    </w:p>
    <w:p>
      <w:pPr/>
    </w:p>
    <w:p>
      <w:pPr/>
    </w:p>
    <w:p>
      <w:pPr/>
    </w:p>
    <w:p>
      <w:pPr/>
    </w:p>
    <w:p>
      <w:pPr/>
    </w:p>
    <w:p>
      <w:pPr/>
    </w:p>
    <w:p>
      <w:pPr/>
    </w:p>
    <w:p>
      <w:pPr/>
    </w:p>
    <w:p>
      <w:pPr/>
    </w:p>
    <w:p>
      <w:pPr>
        <w:spacing w:line="600" w:lineRule="exact"/>
      </w:pPr>
      <w:r>
        <w:rPr>
          <w:rFonts w:ascii="仿宋_GB2312" w:hAnsi="仿宋_GB2312" w:eastAsia="仿宋_GB2312" w:cs="仿宋_GB2312"/>
          <w:sz w:val="32"/>
          <w:szCs w:val="32"/>
        </w:rPr>
        <w:pict>
          <v:line id="_x0000_s1028" o:spid="_x0000_s1028" o:spt="20" style="position:absolute;left:0pt;margin-left:0.55pt;margin-top:7.15pt;height:0pt;width:421.7pt;z-index:251660288;mso-width-relative:page;mso-height-relative:page;" coordsize="21600,21600">
            <v:path arrowok="t"/>
            <v:fill focussize="0,0"/>
            <v:stroke/>
            <v:imagedata o:title=""/>
            <o:lock v:ext="edit"/>
          </v:line>
        </w:pict>
      </w:r>
      <w:r>
        <w:rPr>
          <w:rFonts w:ascii="仿宋" w:hAnsi="仿宋" w:eastAsia="仿宋" w:cs="仿宋"/>
          <w:sz w:val="28"/>
        </w:rPr>
        <w:pict>
          <v:line id="直线 10" o:spid="_x0000_s1029" o:spt="20" style="position:absolute;left:0pt;margin-left:0.55pt;margin-top:34.15pt;height:0pt;width:421.7pt;z-index:251659264;mso-width-relative:page;mso-height-relative:page;" coordsize="21600,21600">
            <v:path arrowok="t"/>
            <v:fill focussize="0,0"/>
            <v:stroke/>
            <v:imagedata o:title=""/>
            <o:lock v:ext="edit"/>
          </v:line>
        </w:pict>
      </w:r>
      <w:r>
        <w:rPr>
          <w:rFonts w:hint="eastAsia" w:ascii="仿宋" w:hAnsi="仿宋" w:eastAsia="仿宋" w:cs="仿宋"/>
          <w:bCs/>
          <w:color w:val="000000"/>
          <w:sz w:val="28"/>
          <w:szCs w:val="28"/>
        </w:rPr>
        <w:t>沈阳市市场监督管理局办公室           2021年</w:t>
      </w:r>
      <w:r>
        <w:rPr>
          <w:rFonts w:hint="eastAsia" w:ascii="仿宋" w:hAnsi="仿宋" w:cs="仿宋"/>
          <w:bCs/>
          <w:color w:val="000000"/>
          <w:sz w:val="28"/>
          <w:szCs w:val="28"/>
          <w:lang w:val="en-US" w:eastAsia="zh-CN"/>
        </w:rPr>
        <w:t>3</w:t>
      </w:r>
      <w:r>
        <w:rPr>
          <w:rFonts w:hint="eastAsia" w:ascii="仿宋" w:hAnsi="仿宋" w:eastAsia="仿宋" w:cs="仿宋"/>
          <w:bCs/>
          <w:color w:val="000000"/>
          <w:sz w:val="28"/>
          <w:szCs w:val="28"/>
        </w:rPr>
        <w:t xml:space="preserve">月 </w:t>
      </w:r>
      <w:r>
        <w:rPr>
          <w:rFonts w:hint="eastAsia" w:ascii="仿宋" w:hAnsi="仿宋" w:cs="仿宋"/>
          <w:bCs/>
          <w:color w:val="000000"/>
          <w:sz w:val="28"/>
          <w:szCs w:val="28"/>
          <w:lang w:val="en-US" w:eastAsia="zh-CN"/>
        </w:rPr>
        <w:t>19</w:t>
      </w:r>
      <w:r>
        <w:rPr>
          <w:rFonts w:hint="eastAsia" w:ascii="仿宋" w:hAnsi="仿宋" w:eastAsia="仿宋" w:cs="仿宋"/>
          <w:bCs/>
          <w:color w:val="000000"/>
          <w:sz w:val="28"/>
          <w:szCs w:val="28"/>
        </w:rPr>
        <w:t xml:space="preserve"> 日印发</w:t>
      </w:r>
    </w:p>
    <w:sectPr>
      <w:footerReference r:id="rId3" w:type="default"/>
      <w:pgSz w:w="11906" w:h="16838"/>
      <w:pgMar w:top="2098" w:right="1474" w:bottom="1985" w:left="1588" w:header="851" w:footer="992" w:gutter="0"/>
      <w:cols w:space="425"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decorative"/>
    <w:pitch w:val="default"/>
    <w:sig w:usb0="E0002EFF" w:usb1="C000785B" w:usb2="00000009" w:usb3="00000000" w:csb0="400001FF" w:csb1="FFFF0000"/>
  </w:font>
  <w:font w:name="Courier New">
    <w:panose1 w:val="02070309020205020404"/>
    <w:charset w:val="01"/>
    <w:family w:val="swiss"/>
    <w:pitch w:val="default"/>
    <w:sig w:usb0="E0002E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6FF" w:usb1="420024FF" w:usb2="02000000" w:usb3="00000000" w:csb0="2000019F" w:csb1="00000000"/>
  </w:font>
  <w:font w:name="Calibri">
    <w:panose1 w:val="020F0502020204030204"/>
    <w:charset w:val="00"/>
    <w:family w:val="roman"/>
    <w:pitch w:val="default"/>
    <w:sig w:usb0="E4002EFF" w:usb1="C000247B" w:usb2="00000009" w:usb3="00000000" w:csb0="200001FF" w:csb1="00000000"/>
  </w:font>
  <w:font w:name="黑体">
    <w:panose1 w:val="02010600030101010101"/>
    <w:charset w:val="86"/>
    <w:family w:val="auto"/>
    <w:pitch w:val="default"/>
    <w:sig w:usb0="800002BF" w:usb1="38CF7CFA" w:usb2="00000016" w:usb3="00000000" w:csb0="00040001" w:csb1="00000000"/>
  </w:font>
  <w:font w:name="Calibri">
    <w:panose1 w:val="020F0502020204030204"/>
    <w:charset w:val="00"/>
    <w:family w:val="decorative"/>
    <w:pitch w:val="default"/>
    <w:sig w:usb0="E4002EFF" w:usb1="C000247B" w:usb2="00000009" w:usb3="00000000" w:csb0="200001FF" w:csb1="00000000"/>
  </w:font>
  <w:font w:name="仿宋">
    <w:panose1 w:val="02010609060101010101"/>
    <w:charset w:val="86"/>
    <w:family w:val="swiss"/>
    <w:pitch w:val="default"/>
    <w:sig w:usb0="800002BF" w:usb1="38CF7CFA" w:usb2="00000016" w:usb3="00000000" w:csb0="00040001" w:csb1="00000000"/>
  </w:font>
  <w:font w:name="仿宋_GB2312">
    <w:panose1 w:val="02010609030101010101"/>
    <w:charset w:val="86"/>
    <w:family w:val="swiss"/>
    <w:pitch w:val="default"/>
    <w:sig w:usb0="00000001" w:usb1="080E0000" w:usb2="00000000" w:usb3="00000000" w:csb0="00040000" w:csb1="00000000"/>
  </w:font>
  <w:font w:name="楷体">
    <w:panose1 w:val="02010609060101010101"/>
    <w:charset w:val="86"/>
    <w:family w:val="swiss"/>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3"/>
      <w:jc w:val="center"/>
    </w:pPr>
    <w:r>
      <w:rPr>
        <w:rFonts w:hint="eastAsia" w:asciiTheme="minorEastAsia" w:hAnsiTheme="minorEastAsia" w:eastAsiaTheme="minorEastAsia"/>
        <w:sz w:val="28"/>
        <w:szCs w:val="28"/>
      </w:rPr>
      <w:t>—　</w:t>
    </w:r>
    <w:sdt>
      <w:sdtPr>
        <w:rPr>
          <w:rFonts w:asciiTheme="minorEastAsia" w:hAnsiTheme="minorEastAsia" w:eastAsiaTheme="minorEastAsia"/>
          <w:sz w:val="28"/>
          <w:szCs w:val="28"/>
        </w:rPr>
        <w:id w:val="-942998340"/>
      </w:sdtPr>
      <w:sdtEndPr>
        <w:rPr>
          <w:rFonts w:eastAsia="仿宋" w:asciiTheme="minorHAnsi" w:hAnsiTheme="minorHAnsi"/>
          <w:sz w:val="18"/>
          <w:szCs w:val="18"/>
        </w:rPr>
      </w:sdtEndPr>
      <w:sdtContent>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PAGE   \* MERGEFORMAT</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18</w:t>
        </w:r>
        <w:r>
          <w:rPr>
            <w:rFonts w:asciiTheme="minorEastAsia" w:hAnsiTheme="minorEastAsia" w:eastAsiaTheme="minorEastAsia"/>
            <w:sz w:val="28"/>
            <w:szCs w:val="28"/>
          </w:rPr>
          <w:fldChar w:fldCharType="end"/>
        </w:r>
        <w:r>
          <w:rPr>
            <w:rFonts w:hint="eastAsia" w:asciiTheme="minorEastAsia" w:hAnsiTheme="minorEastAsia" w:eastAsiaTheme="minorEastAsia"/>
            <w:sz w:val="28"/>
            <w:szCs w:val="28"/>
          </w:rPr>
          <w:t>　</w:t>
        </w:r>
        <w:r>
          <w:rPr>
            <w:rFonts w:asciiTheme="minorEastAsia" w:hAnsiTheme="minorEastAsia" w:eastAsiaTheme="minorEastAsia"/>
            <w:sz w:val="28"/>
            <w:szCs w:val="28"/>
          </w:rPr>
          <w:t>—</w:t>
        </w:r>
      </w:sdtContent>
    </w:sdt>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5E466C"/>
    <w:rsid w:val="000567C1"/>
    <w:rsid w:val="000B4023"/>
    <w:rsid w:val="001777D4"/>
    <w:rsid w:val="002A4EEA"/>
    <w:rsid w:val="00370993"/>
    <w:rsid w:val="00490DE4"/>
    <w:rsid w:val="005A02EF"/>
    <w:rsid w:val="005D5068"/>
    <w:rsid w:val="005E466C"/>
    <w:rsid w:val="005F3980"/>
    <w:rsid w:val="005F5D4F"/>
    <w:rsid w:val="00605831"/>
    <w:rsid w:val="006D62B7"/>
    <w:rsid w:val="00716DE0"/>
    <w:rsid w:val="007957FC"/>
    <w:rsid w:val="0080462E"/>
    <w:rsid w:val="008A3ED9"/>
    <w:rsid w:val="00917115"/>
    <w:rsid w:val="00974223"/>
    <w:rsid w:val="00A3195E"/>
    <w:rsid w:val="00A36BC2"/>
    <w:rsid w:val="00A65A1F"/>
    <w:rsid w:val="00AA3EBC"/>
    <w:rsid w:val="00AC76C8"/>
    <w:rsid w:val="00AD1660"/>
    <w:rsid w:val="00DB200F"/>
    <w:rsid w:val="00E56F35"/>
    <w:rsid w:val="00F47DDC"/>
    <w:rsid w:val="0160136E"/>
    <w:rsid w:val="016F59E7"/>
    <w:rsid w:val="01CA73A6"/>
    <w:rsid w:val="01E00577"/>
    <w:rsid w:val="042D66A2"/>
    <w:rsid w:val="045D7D89"/>
    <w:rsid w:val="04757BEE"/>
    <w:rsid w:val="04D372A2"/>
    <w:rsid w:val="04F316FD"/>
    <w:rsid w:val="050238A1"/>
    <w:rsid w:val="0524524C"/>
    <w:rsid w:val="05637B1A"/>
    <w:rsid w:val="05817D2C"/>
    <w:rsid w:val="05D209DE"/>
    <w:rsid w:val="060140D1"/>
    <w:rsid w:val="065D6AA6"/>
    <w:rsid w:val="078A3763"/>
    <w:rsid w:val="07E21F1C"/>
    <w:rsid w:val="07EB0C38"/>
    <w:rsid w:val="08194F02"/>
    <w:rsid w:val="089E362B"/>
    <w:rsid w:val="08B2070C"/>
    <w:rsid w:val="08C36190"/>
    <w:rsid w:val="08E37A32"/>
    <w:rsid w:val="09337245"/>
    <w:rsid w:val="09483CA1"/>
    <w:rsid w:val="09C037F1"/>
    <w:rsid w:val="0A223104"/>
    <w:rsid w:val="0AAF5A8E"/>
    <w:rsid w:val="0C0E030C"/>
    <w:rsid w:val="0DA345FC"/>
    <w:rsid w:val="0DA71B0C"/>
    <w:rsid w:val="0E78675F"/>
    <w:rsid w:val="0ED6000A"/>
    <w:rsid w:val="0F0C47FD"/>
    <w:rsid w:val="0F391C1E"/>
    <w:rsid w:val="100E0022"/>
    <w:rsid w:val="10EC1370"/>
    <w:rsid w:val="11BB799E"/>
    <w:rsid w:val="11F26A2B"/>
    <w:rsid w:val="127D02F5"/>
    <w:rsid w:val="12986C55"/>
    <w:rsid w:val="135374D4"/>
    <w:rsid w:val="140A2591"/>
    <w:rsid w:val="14400E94"/>
    <w:rsid w:val="148F027A"/>
    <w:rsid w:val="14A72318"/>
    <w:rsid w:val="14B12351"/>
    <w:rsid w:val="14E56020"/>
    <w:rsid w:val="1521187B"/>
    <w:rsid w:val="16723914"/>
    <w:rsid w:val="1685028D"/>
    <w:rsid w:val="168F6CB5"/>
    <w:rsid w:val="16B84E39"/>
    <w:rsid w:val="173453E2"/>
    <w:rsid w:val="17AE3F21"/>
    <w:rsid w:val="17D00B34"/>
    <w:rsid w:val="182D196D"/>
    <w:rsid w:val="18FE4C99"/>
    <w:rsid w:val="19012996"/>
    <w:rsid w:val="1AC06351"/>
    <w:rsid w:val="1AD46752"/>
    <w:rsid w:val="1B0240B9"/>
    <w:rsid w:val="1B0C14E9"/>
    <w:rsid w:val="1B8C23D7"/>
    <w:rsid w:val="1CCF0904"/>
    <w:rsid w:val="1DC46AD0"/>
    <w:rsid w:val="1E6F3CCA"/>
    <w:rsid w:val="1E844BC0"/>
    <w:rsid w:val="1E9D192C"/>
    <w:rsid w:val="1EB4728C"/>
    <w:rsid w:val="1F9D6BBE"/>
    <w:rsid w:val="1FE37238"/>
    <w:rsid w:val="205D3B35"/>
    <w:rsid w:val="208D6B78"/>
    <w:rsid w:val="20A97B8D"/>
    <w:rsid w:val="20E135CA"/>
    <w:rsid w:val="20FF37BC"/>
    <w:rsid w:val="2154329C"/>
    <w:rsid w:val="216562D0"/>
    <w:rsid w:val="224B5B80"/>
    <w:rsid w:val="231F7D8B"/>
    <w:rsid w:val="23236BF8"/>
    <w:rsid w:val="239B4BBB"/>
    <w:rsid w:val="24302515"/>
    <w:rsid w:val="244F1845"/>
    <w:rsid w:val="24525466"/>
    <w:rsid w:val="24A67D1E"/>
    <w:rsid w:val="25064ED1"/>
    <w:rsid w:val="25744AE9"/>
    <w:rsid w:val="25B71B57"/>
    <w:rsid w:val="267F63FA"/>
    <w:rsid w:val="27181747"/>
    <w:rsid w:val="273A51D1"/>
    <w:rsid w:val="274C666A"/>
    <w:rsid w:val="276F6370"/>
    <w:rsid w:val="27C76685"/>
    <w:rsid w:val="28936823"/>
    <w:rsid w:val="28DA05DC"/>
    <w:rsid w:val="290A78EA"/>
    <w:rsid w:val="29654EE7"/>
    <w:rsid w:val="2A5573F2"/>
    <w:rsid w:val="2A6609FB"/>
    <w:rsid w:val="2AAE6304"/>
    <w:rsid w:val="2C72695B"/>
    <w:rsid w:val="2D5A439F"/>
    <w:rsid w:val="2DA07A56"/>
    <w:rsid w:val="2DEF01AB"/>
    <w:rsid w:val="2E056010"/>
    <w:rsid w:val="2EB277BE"/>
    <w:rsid w:val="2F976507"/>
    <w:rsid w:val="30150924"/>
    <w:rsid w:val="309E3C37"/>
    <w:rsid w:val="30BC65A3"/>
    <w:rsid w:val="31537D22"/>
    <w:rsid w:val="3155099D"/>
    <w:rsid w:val="31A22FE3"/>
    <w:rsid w:val="31BF21B8"/>
    <w:rsid w:val="31E15F16"/>
    <w:rsid w:val="31ED7E85"/>
    <w:rsid w:val="32211856"/>
    <w:rsid w:val="3238600A"/>
    <w:rsid w:val="326C20D9"/>
    <w:rsid w:val="32872B17"/>
    <w:rsid w:val="33842B08"/>
    <w:rsid w:val="33AA4616"/>
    <w:rsid w:val="34175D81"/>
    <w:rsid w:val="34E873C9"/>
    <w:rsid w:val="35AA1FB0"/>
    <w:rsid w:val="37191A02"/>
    <w:rsid w:val="37754C99"/>
    <w:rsid w:val="37C2698E"/>
    <w:rsid w:val="37E16429"/>
    <w:rsid w:val="381E34E7"/>
    <w:rsid w:val="384E1840"/>
    <w:rsid w:val="38F335D0"/>
    <w:rsid w:val="38FD40F0"/>
    <w:rsid w:val="39116EED"/>
    <w:rsid w:val="395078A9"/>
    <w:rsid w:val="39713801"/>
    <w:rsid w:val="3A8D42D1"/>
    <w:rsid w:val="3C214058"/>
    <w:rsid w:val="3C2C0F14"/>
    <w:rsid w:val="3C493FF3"/>
    <w:rsid w:val="3C5239D1"/>
    <w:rsid w:val="3C881B67"/>
    <w:rsid w:val="3D5829F6"/>
    <w:rsid w:val="3D5A1BB9"/>
    <w:rsid w:val="3D99056D"/>
    <w:rsid w:val="3E391517"/>
    <w:rsid w:val="3F033232"/>
    <w:rsid w:val="3F9C11DE"/>
    <w:rsid w:val="404B06AD"/>
    <w:rsid w:val="40A75815"/>
    <w:rsid w:val="41142B77"/>
    <w:rsid w:val="41205629"/>
    <w:rsid w:val="41242E25"/>
    <w:rsid w:val="41F145CF"/>
    <w:rsid w:val="420F5379"/>
    <w:rsid w:val="42E97D37"/>
    <w:rsid w:val="438C63DE"/>
    <w:rsid w:val="439E0A3C"/>
    <w:rsid w:val="43A066A3"/>
    <w:rsid w:val="43AD08E4"/>
    <w:rsid w:val="43CA1E92"/>
    <w:rsid w:val="43CB0E3C"/>
    <w:rsid w:val="43E55D41"/>
    <w:rsid w:val="44E7671A"/>
    <w:rsid w:val="44EF4E95"/>
    <w:rsid w:val="45542248"/>
    <w:rsid w:val="458B5023"/>
    <w:rsid w:val="46550B49"/>
    <w:rsid w:val="466E0FDC"/>
    <w:rsid w:val="468B3D22"/>
    <w:rsid w:val="478148FA"/>
    <w:rsid w:val="480373D1"/>
    <w:rsid w:val="488014B6"/>
    <w:rsid w:val="492C04F0"/>
    <w:rsid w:val="49461674"/>
    <w:rsid w:val="4A864794"/>
    <w:rsid w:val="4AC46DBD"/>
    <w:rsid w:val="4C9C1E5F"/>
    <w:rsid w:val="4D92762D"/>
    <w:rsid w:val="4EC94085"/>
    <w:rsid w:val="4ED91505"/>
    <w:rsid w:val="4FFF016F"/>
    <w:rsid w:val="50B30B75"/>
    <w:rsid w:val="50C830DF"/>
    <w:rsid w:val="50CC5F57"/>
    <w:rsid w:val="5112324B"/>
    <w:rsid w:val="512128A7"/>
    <w:rsid w:val="51892C0F"/>
    <w:rsid w:val="51A02E01"/>
    <w:rsid w:val="520154C7"/>
    <w:rsid w:val="52091DBB"/>
    <w:rsid w:val="521F0AF0"/>
    <w:rsid w:val="523A36B3"/>
    <w:rsid w:val="52CF34B1"/>
    <w:rsid w:val="52DC6148"/>
    <w:rsid w:val="52FE33BD"/>
    <w:rsid w:val="537F5423"/>
    <w:rsid w:val="5392050F"/>
    <w:rsid w:val="53942735"/>
    <w:rsid w:val="544878DB"/>
    <w:rsid w:val="548876DE"/>
    <w:rsid w:val="54A56BB3"/>
    <w:rsid w:val="55E21973"/>
    <w:rsid w:val="573B5A95"/>
    <w:rsid w:val="57747B59"/>
    <w:rsid w:val="578A3527"/>
    <w:rsid w:val="57F32325"/>
    <w:rsid w:val="58005BFB"/>
    <w:rsid w:val="581C7D2C"/>
    <w:rsid w:val="58653AE2"/>
    <w:rsid w:val="586A0DE3"/>
    <w:rsid w:val="58A83D00"/>
    <w:rsid w:val="59206F7A"/>
    <w:rsid w:val="59336D9C"/>
    <w:rsid w:val="5AAF3AC1"/>
    <w:rsid w:val="5ABE45A3"/>
    <w:rsid w:val="5B415F64"/>
    <w:rsid w:val="5B57329D"/>
    <w:rsid w:val="5CAA600F"/>
    <w:rsid w:val="5CC5303E"/>
    <w:rsid w:val="5CC64B1E"/>
    <w:rsid w:val="5D8D0B16"/>
    <w:rsid w:val="5DAC3146"/>
    <w:rsid w:val="5DB92741"/>
    <w:rsid w:val="5E5268E4"/>
    <w:rsid w:val="5E657AB2"/>
    <w:rsid w:val="5E9824F0"/>
    <w:rsid w:val="5F400DF0"/>
    <w:rsid w:val="5FDE122B"/>
    <w:rsid w:val="5FEF720D"/>
    <w:rsid w:val="5FF3184B"/>
    <w:rsid w:val="601358EA"/>
    <w:rsid w:val="60800CD4"/>
    <w:rsid w:val="61150074"/>
    <w:rsid w:val="61A9454F"/>
    <w:rsid w:val="61B442C0"/>
    <w:rsid w:val="62626DD8"/>
    <w:rsid w:val="626723D9"/>
    <w:rsid w:val="62CF72E2"/>
    <w:rsid w:val="63077D5E"/>
    <w:rsid w:val="636707F8"/>
    <w:rsid w:val="64AD7379"/>
    <w:rsid w:val="65142A49"/>
    <w:rsid w:val="6552164D"/>
    <w:rsid w:val="65F35A71"/>
    <w:rsid w:val="66846CB0"/>
    <w:rsid w:val="66B55D9E"/>
    <w:rsid w:val="67024B64"/>
    <w:rsid w:val="67183A5C"/>
    <w:rsid w:val="68341FFA"/>
    <w:rsid w:val="68D56C50"/>
    <w:rsid w:val="68F55677"/>
    <w:rsid w:val="6AB8715E"/>
    <w:rsid w:val="6B7A6F82"/>
    <w:rsid w:val="6C4D1FF2"/>
    <w:rsid w:val="6CF109B3"/>
    <w:rsid w:val="6D0857D9"/>
    <w:rsid w:val="6DA46AA6"/>
    <w:rsid w:val="6DF924E6"/>
    <w:rsid w:val="6E021238"/>
    <w:rsid w:val="6E1378FF"/>
    <w:rsid w:val="6EF6302D"/>
    <w:rsid w:val="6EFA249D"/>
    <w:rsid w:val="6F0D3855"/>
    <w:rsid w:val="6F4E0443"/>
    <w:rsid w:val="6F733193"/>
    <w:rsid w:val="722A51E3"/>
    <w:rsid w:val="723B1908"/>
    <w:rsid w:val="72522367"/>
    <w:rsid w:val="725925EC"/>
    <w:rsid w:val="729424FE"/>
    <w:rsid w:val="72F53145"/>
    <w:rsid w:val="73CC7CC6"/>
    <w:rsid w:val="73EF2401"/>
    <w:rsid w:val="75446119"/>
    <w:rsid w:val="755C60FB"/>
    <w:rsid w:val="760D0633"/>
    <w:rsid w:val="76693CF4"/>
    <w:rsid w:val="77F95A82"/>
    <w:rsid w:val="783A3203"/>
    <w:rsid w:val="78D67DE8"/>
    <w:rsid w:val="79444F63"/>
    <w:rsid w:val="7A71111D"/>
    <w:rsid w:val="7AB6335E"/>
    <w:rsid w:val="7B2A28C8"/>
    <w:rsid w:val="7BC71461"/>
    <w:rsid w:val="7C2902F6"/>
    <w:rsid w:val="7C4630FF"/>
    <w:rsid w:val="7D0D09AE"/>
    <w:rsid w:val="7DCB48C8"/>
    <w:rsid w:val="7DFD784F"/>
    <w:rsid w:val="7E2A7173"/>
    <w:rsid w:val="7E411FB9"/>
    <w:rsid w:val="7EC41AC2"/>
    <w:rsid w:val="7ECD35FB"/>
    <w:rsid w:val="7ED709DC"/>
    <w:rsid w:val="7EEA2617"/>
    <w:rsid w:val="7FAC4AA0"/>
    <w:rsid w:val="7FC82B9E"/>
    <w:rsid w:val="7FDA3C36"/>
    <w:rsid w:val="7FF8654D"/>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560" w:lineRule="exact"/>
      <w:jc w:val="both"/>
    </w:pPr>
    <w:rPr>
      <w:rFonts w:eastAsia="仿宋" w:asciiTheme="minorHAnsi" w:hAnsiTheme="minorHAnsi" w:cstheme="minorBidi"/>
      <w:kern w:val="2"/>
      <w:sz w:val="32"/>
      <w:szCs w:val="22"/>
      <w:lang w:val="en-US" w:eastAsia="zh-CN" w:bidi="ar-SA"/>
    </w:rPr>
  </w:style>
  <w:style w:type="character" w:default="1" w:styleId="4">
    <w:name w:val="Default Paragraph Font"/>
    <w:unhideWhenUsed/>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7"/>
    <w:qFormat/>
    <w:uiPriority w:val="0"/>
    <w:pPr>
      <w:spacing w:line="240" w:lineRule="auto"/>
    </w:pPr>
    <w:rPr>
      <w:sz w:val="18"/>
      <w:szCs w:val="18"/>
    </w:rPr>
  </w:style>
  <w:style w:type="paragraph" w:styleId="3">
    <w:name w:val="footer"/>
    <w:basedOn w:val="1"/>
    <w:unhideWhenUsed/>
    <w:qFormat/>
    <w:uiPriority w:val="99"/>
    <w:pPr>
      <w:tabs>
        <w:tab w:val="center" w:pos="4153"/>
        <w:tab w:val="right" w:pos="8306"/>
      </w:tabs>
      <w:snapToGrid w:val="0"/>
      <w:spacing w:line="240" w:lineRule="atLeast"/>
      <w:jc w:val="left"/>
    </w:pPr>
    <w:rPr>
      <w:sz w:val="18"/>
      <w:szCs w:val="18"/>
    </w:rPr>
  </w:style>
  <w:style w:type="character" w:styleId="5">
    <w:name w:val="Hyperlink"/>
    <w:basedOn w:val="4"/>
    <w:qFormat/>
    <w:uiPriority w:val="0"/>
    <w:rPr>
      <w:color w:val="0000FF"/>
      <w:u w:val="single"/>
    </w:rPr>
  </w:style>
  <w:style w:type="character" w:customStyle="1" w:styleId="7">
    <w:name w:val="批注框文本 Char"/>
    <w:basedOn w:val="4"/>
    <w:link w:val="2"/>
    <w:qFormat/>
    <w:uiPriority w:val="0"/>
    <w:rPr>
      <w:rFonts w:eastAsia="仿宋" w:asciiTheme="minorHAnsi" w:hAnsiTheme="minorHAnsi"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8"/>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18</Pages>
  <Words>1354</Words>
  <Characters>7724</Characters>
  <Lines>64</Lines>
  <Paragraphs>18</Paragraphs>
  <ScaleCrop>false</ScaleCrop>
  <LinksUpToDate>false</LinksUpToDate>
  <CharactersWithSpaces>9060</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2021-03-17T06:34:00Z</dcterms:created>
  <dc:creator>PC</dc:creator>
  <cp:lastModifiedBy>永远的流浪者</cp:lastModifiedBy>
  <cp:lastPrinted>2021-03-19T06:31:00Z</cp:lastPrinted>
  <dcterms:modified xsi:type="dcterms:W3CDTF">2023-07-20T08:14:30Z</dcterms:modified>
  <dc:title>沈市监发〔2021〕12号</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y fmtid="{D5CDD505-2E9C-101B-9397-08002B2CF9AE}" pid="3" name="ICV">
    <vt:lpwstr>B63E25C619D3417186041997E0E0E0D8</vt:lpwstr>
  </property>
</Properties>
</file>