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Pr>
      <w:r>
        <w:rPr>
          <w:rFonts w:ascii="仿宋_GB2312" w:eastAsia="仿宋_GB2312" w:cs="仿宋_GB2312"/>
          <w:sz w:val="31"/>
          <w:szCs w:val="31"/>
        </w:rPr>
        <w:t>附件：</w:t>
      </w:r>
    </w:p>
    <w:p>
      <w:pPr>
        <w:pStyle w:val="5"/>
        <w:keepNext w:val="0"/>
        <w:keepLines w:val="0"/>
        <w:widowControl/>
        <w:suppressLineNumbers w:val="0"/>
        <w:jc w:val="center"/>
      </w:pPr>
      <w:r>
        <w:rPr>
          <w:rStyle w:val="7"/>
          <w:rFonts w:hint="eastAsia" w:ascii="宋体" w:hAnsi="宋体" w:eastAsia="宋体" w:cs="宋体"/>
          <w:b/>
          <w:sz w:val="43"/>
          <w:szCs w:val="43"/>
        </w:rPr>
        <w:t>市市场监管局创建国家食品安全示范城市工作任务清单（处室分工）</w:t>
      </w:r>
    </w:p>
    <w:p>
      <w:pPr>
        <w:pStyle w:val="5"/>
        <w:keepNext w:val="0"/>
        <w:keepLines w:val="0"/>
        <w:widowControl/>
        <w:suppressLineNumbers w:val="0"/>
      </w:pPr>
    </w:p>
    <w:p>
      <w:pPr>
        <w:pStyle w:val="5"/>
        <w:keepNext w:val="0"/>
        <w:keepLines w:val="0"/>
        <w:widowControl/>
        <w:suppressLineNumbers w:val="0"/>
      </w:pPr>
      <w:r>
        <w:rPr>
          <w:rFonts w:hint="eastAsia" w:ascii="黑体" w:hAnsi="宋体" w:eastAsia="黑体" w:cs="黑体"/>
          <w:sz w:val="31"/>
          <w:szCs w:val="31"/>
        </w:rPr>
        <w:t>一、食品安全状况持续良好</w:t>
      </w:r>
    </w:p>
    <w:tbl>
      <w:tblPr>
        <w:tblStyle w:val="8"/>
        <w:tblW w:w="2163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0"/>
        <w:gridCol w:w="855"/>
        <w:gridCol w:w="2790"/>
        <w:gridCol w:w="7365"/>
        <w:gridCol w:w="4815"/>
        <w:gridCol w:w="2265"/>
        <w:gridCol w:w="1275"/>
        <w:gridCol w:w="12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0" w:hRule="atLeast"/>
        </w:trPr>
        <w:tc>
          <w:tcPr>
            <w:tcW w:w="4635" w:type="dxa"/>
            <w:gridSpan w:val="3"/>
            <w:tcBorders>
              <w:top w:val="single" w:color="auto" w:sz="6" w:space="0"/>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bookmarkStart w:id="0" w:name="RANGE!A2:K41"/>
            <w:r>
              <w:rPr>
                <w:rStyle w:val="7"/>
                <w:rFonts w:hint="eastAsia" w:ascii="宋体" w:hAnsi="宋体" w:eastAsia="宋体" w:cs="宋体"/>
                <w:b/>
                <w:sz w:val="24"/>
                <w:szCs w:val="24"/>
              </w:rPr>
              <w:t>国家食品安全示范城市标准</w:t>
            </w:r>
            <w:bookmarkEnd w:id="0"/>
          </w:p>
        </w:tc>
        <w:tc>
          <w:tcPr>
            <w:tcW w:w="736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481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226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27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27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0"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736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481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26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620"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（一）</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1.近三年未发生重大食品安全事故，未发生引发国内外广泛关注、造成严重不良社会影响的食品安全事件。</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（1）掌握全市总体情况（近三年食品安全事故、食品安全事件）。</w:t>
            </w:r>
          </w:p>
          <w:p>
            <w:pPr>
              <w:pStyle w:val="5"/>
              <w:keepNext w:val="0"/>
              <w:keepLines w:val="0"/>
              <w:widowControl/>
              <w:suppressLineNumbers w:val="0"/>
              <w:spacing w:line="405" w:lineRule="atLeast"/>
            </w:pPr>
            <w:r>
              <w:rPr>
                <w:rFonts w:hint="eastAsia" w:ascii="宋体" w:hAnsi="宋体" w:eastAsia="宋体" w:cs="宋体"/>
                <w:sz w:val="24"/>
                <w:szCs w:val="24"/>
              </w:rPr>
              <w:t>（2）近三年未发生重大或以上级别食品安全事故，或者发生引发国内外广泛关注、造成严重不良社会影响的食品安全事件。</w:t>
            </w:r>
          </w:p>
          <w:p>
            <w:pPr>
              <w:pStyle w:val="5"/>
              <w:keepNext w:val="0"/>
              <w:keepLines w:val="0"/>
              <w:widowControl/>
              <w:suppressLineNumbers w:val="0"/>
              <w:spacing w:line="405" w:lineRule="atLeast"/>
            </w:pPr>
            <w:r>
              <w:rPr>
                <w:rFonts w:hint="eastAsia" w:ascii="宋体" w:hAnsi="宋体" w:eastAsia="宋体" w:cs="宋体"/>
                <w:sz w:val="24"/>
                <w:szCs w:val="24"/>
              </w:rPr>
              <w:t>（3）市政府食安办组织应急、宣传及相关部门、专家对本市三年发生食物中毒情况进行综合评价，得出结论，结论后要附上与会专家签字意见。</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本底名单、省级相关部门出具的认定材料、评价报告等相关证实材料。</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市政府</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应急预警处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15"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（二）</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2.当地群众食品安全总体满意度达70%，对创建工作的知晓率达75%，对创建工作的支持率达85%。</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食安办委托第三方机构开展全市满意度、知晓率和支持率的调查。制定评估方案、形成评估报告，使满意度、知晓率、支持率符合要求。配合市委宣传部开展全市创建国家食品安全示范城市宣传工作。制定部门宣传计划或方案。</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市级委托第三方机构开展调查的方案、报告、调查问卷。宣传证明材料。</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市政府</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055"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（三）</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3.食品检验量达到每年4份/千人。其中，主要针对农药兽药残留的食品检验量不低于每年2份/千人。</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（1）掌握全市总体情况和各个县区基层的具体情况（食品检验量情况）。</w:t>
            </w:r>
          </w:p>
          <w:p>
            <w:pPr>
              <w:pStyle w:val="5"/>
              <w:keepNext w:val="0"/>
              <w:keepLines w:val="0"/>
              <w:widowControl/>
              <w:suppressLineNumbers w:val="0"/>
              <w:spacing w:line="405" w:lineRule="atLeast"/>
            </w:pPr>
            <w:r>
              <w:rPr>
                <w:rFonts w:hint="eastAsia" w:ascii="宋体" w:hAnsi="宋体" w:eastAsia="宋体" w:cs="宋体"/>
                <w:sz w:val="24"/>
                <w:szCs w:val="24"/>
              </w:rPr>
              <w:t>（2）制定全市食品安全检测计划，食品检验量达到每年4份/千人、主要针对农药兽药残留的食品检验量达到每年2份/千人。</w:t>
            </w:r>
          </w:p>
          <w:p>
            <w:pPr>
              <w:pStyle w:val="5"/>
              <w:keepNext w:val="0"/>
              <w:keepLines w:val="0"/>
              <w:widowControl/>
              <w:suppressLineNumbers w:val="0"/>
              <w:spacing w:line="405" w:lineRule="atLeast"/>
            </w:pPr>
            <w:r>
              <w:rPr>
                <w:rFonts w:hint="eastAsia" w:ascii="宋体" w:hAnsi="宋体" w:eastAsia="宋体" w:cs="宋体"/>
                <w:sz w:val="24"/>
                <w:szCs w:val="24"/>
              </w:rPr>
              <w:t>（3）按照食品安全检测计划，完成承担的食品安全检测任务。</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近两年全市食品检验量及农兽药残留食品检验量总体情况说明（含市、县各部门检验量明细）（食品检验量统计不包含国家和省级财政支持由市县实施的食品检验，不包含食品安全风险监测、食品快速检测。），市县食品安全监管部门提供的年度食品抽检检测计划（方案）、统计分析总结（报告），市统计部门提供的全市常住人口数据。掌握全市食品相关产品总体情况和各个县区基层的具体情况（含市、县抽检方案或计划，检验明细量）。</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市县政府及市场监管、农业、渔业、畜牧等部门</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食品抽检处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食品生产、流通、餐饮处、产品质量安全监管处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650" w:hRule="atLeast"/>
        </w:trPr>
        <w:tc>
          <w:tcPr>
            <w:tcW w:w="990"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（四）</w:t>
            </w:r>
          </w:p>
        </w:tc>
        <w:tc>
          <w:tcPr>
            <w:tcW w:w="855"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4.依法应查办的食品安全违法案件查办率达到100%。</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（1）掌握全市总体情况和各个县区基层的具体情况（行政处罚本底及案件移送明细、全市食品安全违法广告查出明细）。</w:t>
            </w:r>
          </w:p>
          <w:p>
            <w:pPr>
              <w:pStyle w:val="5"/>
              <w:keepNext w:val="0"/>
              <w:keepLines w:val="0"/>
              <w:widowControl/>
              <w:suppressLineNumbers w:val="0"/>
              <w:spacing w:line="405" w:lineRule="atLeast"/>
            </w:pPr>
            <w:r>
              <w:rPr>
                <w:rFonts w:hint="eastAsia" w:ascii="宋体" w:hAnsi="宋体" w:eastAsia="宋体" w:cs="宋体"/>
                <w:sz w:val="24"/>
                <w:szCs w:val="24"/>
              </w:rPr>
              <w:t>（2）依法应查办的食品安全违法案件、食品违法广告案件、食品相关产品违法案件查办率达到100%。</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食品安全监管部门的食品安全日常监督检查记录、简易程序行政处罚案卷、向公安机关移送涉刑案件明细。食品违法广告简易程序行政处罚案卷、向公安机关移送涉刑案件明细。食品相关产品企业日常监督检查记录、简易程序行政处罚案卷、向公安机关移送涉刑案件明细。</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市县市场监管、农业、渔业、畜牧、卫健、公安等部门</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635" w:hRule="atLeast"/>
        </w:trPr>
        <w:tc>
          <w:tcPr>
            <w:tcW w:w="990"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5.监督抽检不合格产品核查处置完成率达到100%。</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（1）掌握全市总体情况和各个县区基层的具体情况（监督抽检不合格产品信息汇总）。</w:t>
            </w:r>
          </w:p>
          <w:p>
            <w:pPr>
              <w:pStyle w:val="5"/>
              <w:keepNext w:val="0"/>
              <w:keepLines w:val="0"/>
              <w:widowControl/>
              <w:suppressLineNumbers w:val="0"/>
              <w:spacing w:line="405" w:lineRule="atLeast"/>
            </w:pPr>
            <w:r>
              <w:rPr>
                <w:rFonts w:hint="eastAsia" w:ascii="宋体" w:hAnsi="宋体" w:eastAsia="宋体" w:cs="宋体"/>
                <w:sz w:val="24"/>
                <w:szCs w:val="24"/>
              </w:rPr>
              <w:t>（2）监督抽检不合格产品核查处置完成率达到100%。</w:t>
            </w:r>
          </w:p>
          <w:p>
            <w:pPr>
              <w:pStyle w:val="5"/>
              <w:keepNext w:val="0"/>
              <w:keepLines w:val="0"/>
              <w:widowControl/>
              <w:suppressLineNumbers w:val="0"/>
              <w:spacing w:line="405" w:lineRule="atLeast"/>
            </w:pPr>
            <w:r>
              <w:rPr>
                <w:rFonts w:hint="eastAsia" w:ascii="宋体" w:hAnsi="宋体" w:eastAsia="宋体" w:cs="宋体"/>
                <w:sz w:val="24"/>
                <w:szCs w:val="24"/>
              </w:rPr>
              <w:t>（3）及时将不合格产品核查处置信息录入“食品安全抽检监测信息系统”中。</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组织实施的监督抽检不合格产品信息汇总明细或者目录清单，不合格产品核查处置案卷，市场监督部门的“食品安全抽检监测信息系统”。</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市县市场监管、农业、渔业、畜牧、卫健等部门</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食品抽检处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食品生产、流通、餐饮处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90" w:hRule="atLeast"/>
        </w:trPr>
        <w:tc>
          <w:tcPr>
            <w:tcW w:w="990"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6.应公开的监督执法、行政处罚信息公开率达到100%。</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（1）掌握全市总体情况和各个县区基层的具体情况（行政处罚案件明细、信息发布平台）。</w:t>
            </w:r>
          </w:p>
          <w:p>
            <w:pPr>
              <w:pStyle w:val="5"/>
              <w:keepNext w:val="0"/>
              <w:keepLines w:val="0"/>
              <w:widowControl/>
              <w:suppressLineNumbers w:val="0"/>
              <w:spacing w:line="405" w:lineRule="atLeast"/>
            </w:pPr>
            <w:r>
              <w:rPr>
                <w:rFonts w:hint="eastAsia" w:ascii="宋体" w:hAnsi="宋体" w:eastAsia="宋体" w:cs="宋体"/>
                <w:sz w:val="24"/>
                <w:szCs w:val="24"/>
              </w:rPr>
              <w:t>（2）应公开的监督执法行政处罚信息公开率达到100%。</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一般程序行政处罚案卷，信息发布平台（可以是本级或上级部门官方网站、同级政府官方网站，也可以是公众可获取的其他信息公开渠道）。</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市县市场监管、农业、渔业、畜牧、卫健等部门</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485"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（五）</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7.出台并实施落实食品安全党政同责要求的相关文件。</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（2）市委市政府出台落实食品安全党政同责要求的相关文件。</w:t>
            </w:r>
          </w:p>
          <w:p>
            <w:pPr>
              <w:pStyle w:val="5"/>
              <w:keepNext w:val="0"/>
              <w:keepLines w:val="0"/>
              <w:widowControl/>
              <w:suppressLineNumbers w:val="0"/>
              <w:spacing w:line="405" w:lineRule="atLeast"/>
            </w:pPr>
            <w:r>
              <w:rPr>
                <w:rFonts w:hint="eastAsia" w:ascii="宋体" w:hAnsi="宋体" w:eastAsia="宋体" w:cs="宋体"/>
                <w:sz w:val="24"/>
                <w:szCs w:val="24"/>
              </w:rPr>
              <w:t>（3）县区党委政府传达落实文件精神。</w:t>
            </w:r>
          </w:p>
          <w:p>
            <w:pPr>
              <w:pStyle w:val="5"/>
              <w:keepNext w:val="0"/>
              <w:keepLines w:val="0"/>
              <w:widowControl/>
              <w:suppressLineNumbers w:val="0"/>
              <w:spacing w:line="405" w:lineRule="atLeast"/>
            </w:pPr>
            <w:r>
              <w:rPr>
                <w:rFonts w:hint="eastAsia" w:ascii="宋体" w:hAnsi="宋体" w:eastAsia="宋体" w:cs="宋体"/>
                <w:sz w:val="24"/>
                <w:szCs w:val="24"/>
              </w:rPr>
              <w:t>（4）乡镇、街道党委政府落实上级党政同责工作要求。</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市委市政府出台的落实食品安全党政同责要求的文件，县区党委政府传达落实市委、市政府文件的相关材料（文件、纪要等），乡镇、街道党委政府落实上级工作要求的证实材料。</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市县党</w:t>
            </w:r>
          </w:p>
          <w:p>
            <w:pPr>
              <w:pStyle w:val="5"/>
              <w:keepNext w:val="0"/>
              <w:keepLines w:val="0"/>
              <w:widowControl/>
              <w:suppressLineNumbers w:val="0"/>
              <w:spacing w:line="405" w:lineRule="atLeast"/>
              <w:jc w:val="center"/>
            </w:pPr>
            <w:r>
              <w:rPr>
                <w:rFonts w:hint="eastAsia" w:ascii="宋体" w:hAnsi="宋体" w:eastAsia="宋体" w:cs="宋体"/>
                <w:sz w:val="24"/>
                <w:szCs w:val="24"/>
              </w:rPr>
              <w:t>委政府</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食品协调处、办公室</w:t>
            </w:r>
          </w:p>
          <w:p>
            <w:pPr>
              <w:pStyle w:val="5"/>
              <w:keepNext w:val="0"/>
              <w:keepLines w:val="0"/>
              <w:widowControl/>
              <w:suppressLineNumbers w:val="0"/>
              <w:spacing w:line="405" w:lineRule="atLeast"/>
            </w:pPr>
            <w:r>
              <w:rPr>
                <w:rFonts w:hint="eastAsia" w:ascii="宋体" w:hAnsi="宋体" w:eastAsia="宋体" w:cs="宋体"/>
                <w:sz w:val="24"/>
                <w:szCs w:val="24"/>
              </w:rPr>
              <w:t>  </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145"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（五）</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否决项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8.地区、部门食品安全监管事权划分明确，不存在交叉重复或漏洞盲区。</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（2）市/县政府通过“三定”方案、出台食品安全工作职责规定等方式对地区、部门食品安全职责分工做出明确规定。</w:t>
            </w:r>
          </w:p>
          <w:p>
            <w:pPr>
              <w:pStyle w:val="5"/>
              <w:keepNext w:val="0"/>
              <w:keepLines w:val="0"/>
              <w:widowControl/>
              <w:suppressLineNumbers w:val="0"/>
              <w:spacing w:line="405" w:lineRule="atLeast"/>
            </w:pPr>
            <w:r>
              <w:rPr>
                <w:rFonts w:hint="eastAsia" w:ascii="宋体" w:hAnsi="宋体" w:eastAsia="宋体" w:cs="宋体"/>
                <w:sz w:val="24"/>
                <w:szCs w:val="24"/>
              </w:rPr>
              <w:t>（3）市/县政府组织各县区/乡镇街道、各部门定期收集并组织研究食品安全监管事权划分不明确、监管职能可能存在交叉重复或漏洞盲区的问题，提出责任分工、解决问题的意见或措施。</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市/县政府或编制机构出台的部门“三定”方案，市/县政府或食安委出台的食品安全工作职责规定，其他能够体现职责分工情况的文件资料，组织收集到的职责划分不清或漏洞盲区问题明细，研究问题并明确分工意见或解决措施的证实材料。</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市县政府</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人事处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890" w:hRule="atLeast"/>
        </w:trPr>
        <w:tc>
          <w:tcPr>
            <w:tcW w:w="990"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（六）</w:t>
            </w:r>
          </w:p>
        </w:tc>
        <w:tc>
          <w:tcPr>
            <w:tcW w:w="8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279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9.创建城市要主动征集群众关心的食品安全问题，并且有效解决、及时反馈，让群众满意。</w:t>
            </w:r>
          </w:p>
        </w:tc>
        <w:tc>
          <w:tcPr>
            <w:tcW w:w="73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（2）市/县政府定期组织开展民意征集活动；乡镇政府、街道办事处/村、社区按照上级工作或自行开展民意征集工作。</w:t>
            </w:r>
            <w:r>
              <w:rPr>
                <w:rFonts w:hint="eastAsia" w:ascii="宋体" w:hAnsi="宋体" w:eastAsia="宋体" w:cs="宋体"/>
                <w:sz w:val="24"/>
                <w:szCs w:val="24"/>
              </w:rPr>
              <w:br w:type="textWrapping"/>
            </w:r>
            <w:r>
              <w:rPr>
                <w:rFonts w:hint="eastAsia" w:ascii="宋体" w:hAnsi="宋体" w:eastAsia="宋体" w:cs="宋体"/>
                <w:sz w:val="24"/>
                <w:szCs w:val="24"/>
              </w:rPr>
              <w:t>（3）对征集到的问题或下级上报的问题进行汇总、分析。</w:t>
            </w:r>
            <w:r>
              <w:rPr>
                <w:rFonts w:hint="eastAsia" w:ascii="宋体" w:hAnsi="宋体" w:eastAsia="宋体" w:cs="宋体"/>
                <w:sz w:val="24"/>
                <w:szCs w:val="24"/>
              </w:rPr>
              <w:br w:type="textWrapping"/>
            </w:r>
            <w:r>
              <w:rPr>
                <w:rFonts w:hint="eastAsia" w:ascii="宋体" w:hAnsi="宋体" w:eastAsia="宋体" w:cs="宋体"/>
                <w:sz w:val="24"/>
                <w:szCs w:val="24"/>
              </w:rPr>
              <w:t>（4）对群众普遍关心的食品安全突出问题提出解决措施并积极落实，对不能解决的问题及时上报。</w:t>
            </w:r>
            <w:r>
              <w:rPr>
                <w:rFonts w:hint="eastAsia" w:ascii="宋体" w:hAnsi="宋体" w:eastAsia="宋体" w:cs="宋体"/>
                <w:sz w:val="24"/>
                <w:szCs w:val="24"/>
              </w:rPr>
              <w:br w:type="textWrapping"/>
            </w:r>
            <w:r>
              <w:rPr>
                <w:rFonts w:hint="eastAsia" w:ascii="宋体" w:hAnsi="宋体" w:eastAsia="宋体" w:cs="宋体"/>
                <w:sz w:val="24"/>
                <w:szCs w:val="24"/>
              </w:rPr>
              <w:t>（5）问题解决情况向公众反馈。</w:t>
            </w:r>
          </w:p>
        </w:tc>
        <w:tc>
          <w:tcPr>
            <w:tcW w:w="481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开展民意征集活动、汇总分析问题、提出并落实解决措施、向公众反馈解决问题情况的证实材料。</w:t>
            </w:r>
          </w:p>
        </w:tc>
        <w:tc>
          <w:tcPr>
            <w:tcW w:w="226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市县政府</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bl>
    <w:p>
      <w:pPr>
        <w:pStyle w:val="5"/>
        <w:keepNext w:val="0"/>
        <w:keepLines w:val="0"/>
        <w:widowControl/>
        <w:suppressLineNumbers w:val="0"/>
      </w:pPr>
      <w:r>
        <w:rPr>
          <w:rFonts w:hint="eastAsia" w:ascii="黑体" w:hAnsi="宋体" w:eastAsia="黑体" w:cs="黑体"/>
          <w:sz w:val="31"/>
          <w:szCs w:val="31"/>
        </w:rPr>
        <w:t>二、党政同责落实到位</w:t>
      </w:r>
    </w:p>
    <w:tbl>
      <w:tblPr>
        <w:tblStyle w:val="8"/>
        <w:tblW w:w="2228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8"/>
        <w:gridCol w:w="760"/>
        <w:gridCol w:w="2736"/>
        <w:gridCol w:w="10022"/>
        <w:gridCol w:w="4357"/>
        <w:gridCol w:w="1268"/>
        <w:gridCol w:w="1042"/>
        <w:gridCol w:w="114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10" w:hRule="atLeast"/>
        </w:trPr>
        <w:tc>
          <w:tcPr>
            <w:tcW w:w="4454" w:type="dxa"/>
            <w:gridSpan w:val="3"/>
            <w:tcBorders>
              <w:top w:val="single" w:color="auto" w:sz="6" w:space="0"/>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10022"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4357"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1268"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042"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146"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10" w:hRule="atLeast"/>
        </w:trPr>
        <w:tc>
          <w:tcPr>
            <w:tcW w:w="958"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6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10022"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4357"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rPr>
                <w:rFonts w:hint="eastAsia" w:ascii="宋体"/>
                <w:sz w:val="24"/>
                <w:szCs w:val="24"/>
              </w:rPr>
            </w:pPr>
          </w:p>
        </w:tc>
        <w:tc>
          <w:tcPr>
            <w:tcW w:w="1146"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205" w:hRule="atLeast"/>
        </w:trPr>
        <w:tc>
          <w:tcPr>
            <w:tcW w:w="958"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（七）党委政府高度重视</w:t>
            </w:r>
          </w:p>
        </w:tc>
        <w:tc>
          <w:tcPr>
            <w:tcW w:w="760"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10.党委政府定期专题研究食品安全工作，解决当地群众普遍关心的食品安全突出问题。</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（2）市/县党委政府近两年通过常委会会议或专题会议形式，专题研究食品安全工作，每年不少于2次。</w:t>
            </w:r>
          </w:p>
          <w:p>
            <w:pPr>
              <w:pStyle w:val="5"/>
              <w:keepNext w:val="0"/>
              <w:keepLines w:val="0"/>
              <w:widowControl/>
              <w:suppressLineNumbers w:val="0"/>
              <w:spacing w:line="405" w:lineRule="atLeast"/>
            </w:pPr>
            <w:r>
              <w:rPr>
                <w:rFonts w:hint="eastAsia" w:ascii="宋体" w:hAnsi="宋体" w:eastAsia="宋体" w:cs="宋体"/>
                <w:sz w:val="24"/>
                <w:szCs w:val="24"/>
              </w:rPr>
              <w:t>（3）乡镇党委政府/街道党工委办事处每年专题研究食品安全工作不少于2次。</w:t>
            </w:r>
          </w:p>
          <w:p>
            <w:pPr>
              <w:pStyle w:val="5"/>
              <w:keepNext w:val="0"/>
              <w:keepLines w:val="0"/>
              <w:widowControl/>
              <w:suppressLineNumbers w:val="0"/>
              <w:spacing w:line="405" w:lineRule="atLeast"/>
            </w:pPr>
            <w:r>
              <w:rPr>
                <w:rFonts w:hint="eastAsia" w:ascii="宋体" w:hAnsi="宋体" w:eastAsia="宋体" w:cs="宋体"/>
                <w:sz w:val="24"/>
                <w:szCs w:val="24"/>
              </w:rPr>
              <w:t>（4）党委政府专题研究食品安全的内容中应包含当地群众普遍关心的食品安全突出问题。</w:t>
            </w:r>
          </w:p>
        </w:tc>
        <w:tc>
          <w:tcPr>
            <w:tcW w:w="4357"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党委政府专题研究食品安全工作的会议纪要；市县政府推进国家食品安全示范城市创建完善组织机制、制定方案、明确分工、组织督导考核的证实材料；建立并执行“双安双创”会商工作机制的证实材料。</w:t>
            </w:r>
          </w:p>
        </w:tc>
        <w:tc>
          <w:tcPr>
            <w:tcW w:w="1268"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市县党委政府，市场监管、农业部门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办公室</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05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11.完善“双安双创”工作机制。</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（2）市/县政府完善国家食品安全示范城市创建工作组织机制，制定创建工作方案并进行任务分工，并督导、考核创建工作。</w:t>
            </w:r>
          </w:p>
          <w:p>
            <w:pPr>
              <w:pStyle w:val="5"/>
              <w:keepNext w:val="0"/>
              <w:keepLines w:val="0"/>
              <w:widowControl/>
              <w:suppressLineNumbers w:val="0"/>
              <w:spacing w:line="405" w:lineRule="atLeast"/>
            </w:pPr>
            <w:r>
              <w:rPr>
                <w:rFonts w:hint="eastAsia" w:ascii="宋体" w:hAnsi="宋体" w:eastAsia="宋体" w:cs="宋体"/>
                <w:sz w:val="24"/>
                <w:szCs w:val="24"/>
              </w:rPr>
              <w:t>（3）市市场监管、农业部门牵头建立并执行“双安双创”定期会商工作机制；涉农县的市场监管、农业部门应建立并执行“双安双创”定期会商工作机制。</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2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12.将食品安全纳入党委政府年度综合目标考核（所占权重不低于3%）、地方党委政府领导班子及领导干部综合考核评价，实行食品安全事故“一票否决”。</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（2）市对县区党委政府年度综合目标考核中食品安全指标权重达到3%；将食品安全纳入对地方党委政府领导班子及领导干部综合考评；实行食品安全事故“一票否决”。</w:t>
            </w:r>
          </w:p>
          <w:p>
            <w:pPr>
              <w:pStyle w:val="5"/>
              <w:keepNext w:val="0"/>
              <w:keepLines w:val="0"/>
              <w:widowControl/>
              <w:suppressLineNumbers w:val="0"/>
              <w:spacing w:line="405" w:lineRule="atLeast"/>
            </w:pPr>
            <w:r>
              <w:rPr>
                <w:rFonts w:hint="eastAsia" w:ascii="宋体" w:hAnsi="宋体" w:eastAsia="宋体" w:cs="宋体"/>
                <w:sz w:val="24"/>
                <w:szCs w:val="24"/>
              </w:rPr>
              <w:t>（2）全部县区对乡镇（街道）年度综合目标考核中食品安全指标权重达到3%；全部将食品安全纳入对地方党委政府领导班子及领导干部综合考评；全部实行“一票否决”。</w:t>
            </w:r>
          </w:p>
        </w:tc>
        <w:tc>
          <w:tcPr>
            <w:tcW w:w="4357"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市县政府年度综合考核方案，省政府食安委对市政府年度考核结果通报。</w:t>
            </w:r>
          </w:p>
        </w:tc>
        <w:tc>
          <w:tcPr>
            <w:tcW w:w="1268"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市县政府，乡镇政府，街道办事处</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人事处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5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13.食品安全综合评议考核优秀，排名本省（区、市）前列。</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在省政府对各市政府年度食品安全综合评议考核中，排名前三分之一（1-5名）。</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 w:hRule="atLeast"/>
        </w:trPr>
        <w:tc>
          <w:tcPr>
            <w:tcW w:w="958"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（八）统一权威监管体制完善</w:t>
            </w:r>
          </w:p>
        </w:tc>
        <w:tc>
          <w:tcPr>
            <w:tcW w:w="760"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14.加强行政区域内各级食品安全委员会及食品安全办建设，综合协调、监督指导、督查考评等机制制度健全，各成员单位食品安全职责清晰。</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政府成立食品安全委员会并及时调整组成人员；设立食安办，强化食安办建设，明确食安办内部职能运行机制；制定食安委工作规则，健全并执行综合协调、监督指导、督查考评等机制制度；市政府或食安委出台文件，明确食安委各成员单位食品安全职责；对各县区/乡镇街道、各成员单位食品安全工作开展综合考评，有结果、有通报、体现工作差距。</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成立食安委或最新调整食安委组成人员的文件（食安委组成人员发生变化的，原则上一年内至少集中调整一次，调整文件中应明确组成人员的姓名、单位、职务），体现设立食安办、强化食安办建设、明确内部职能运行机制的证实材料，体现综合协调、监督指导、督查考评等机制制度内容的文件和执行上述机制制度情况的证实材料，食品安全年度综合考核通知（方案）、考核结果通报材料。</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市县政府</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8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15.实行综合执法的地方，将食品药品安全监管作为首要职责。</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实行综合执法的地方，综合执法监管力量中从事食品安全监管的人员比重、食品安全监管队伍中食品相关专业背景人员构成、食品安全监管业务内设机构设置等方面能够科学合理设计、优化资源配置，适应食品安全监管实际需要，保证食品安全监管首要职责落实到位。</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从事食品安全监管的人员比重、食品安全监管队伍中食品相关专业背景人员构成、市场监管部门中食品安全监管业务内设机构设置的统计表，“三定”方案。</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市县政府</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人事处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43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16.要完善乡镇（街道）食品安全监管体制，加强能力建设，确保事有人做、责有人负。</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乡镇街道全部成立食品安全工作领导小组并及时调整组成人员（领导小组组成人员发生变化的，原则上一年内至少集中调整一次，调整文件中应明确组成人员的姓名、单位、职务）；全部设立食品安全工作领导小组办公室；乡镇政府、街道办事处定期专题研究食品安全工作。</w:t>
            </w:r>
          </w:p>
          <w:p>
            <w:pPr>
              <w:pStyle w:val="5"/>
              <w:keepNext w:val="0"/>
              <w:keepLines w:val="0"/>
              <w:widowControl/>
              <w:suppressLineNumbers w:val="0"/>
              <w:spacing w:line="375" w:lineRule="atLeast"/>
            </w:pPr>
            <w:r>
              <w:rPr>
                <w:rFonts w:hint="eastAsia" w:ascii="宋体" w:hAnsi="宋体" w:eastAsia="宋体" w:cs="宋体"/>
                <w:sz w:val="24"/>
                <w:szCs w:val="24"/>
              </w:rPr>
              <w:t>（3）乡镇街道全部制定食品安全工作领导小组工作规则，健全并执行综合协调、监督指导、督查考评等机制制度；全部出台文件明确领导小组各成员单位食品安全职责。</w:t>
            </w:r>
          </w:p>
          <w:p>
            <w:pPr>
              <w:pStyle w:val="5"/>
              <w:keepNext w:val="0"/>
              <w:keepLines w:val="0"/>
              <w:widowControl/>
              <w:suppressLineNumbers w:val="0"/>
              <w:spacing w:line="375" w:lineRule="atLeast"/>
            </w:pPr>
            <w:r>
              <w:rPr>
                <w:rFonts w:hint="eastAsia" w:ascii="宋体" w:hAnsi="宋体" w:eastAsia="宋体" w:cs="宋体"/>
                <w:sz w:val="24"/>
                <w:szCs w:val="24"/>
              </w:rPr>
              <w:t>（4）按规定应在乡镇街道设置市场监管部门的，全部设置到位。</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成立领导小组或最新调整领导小组组成人员的文件，体现设立领导小组办公室的证实材料，专题研究食品安全工作的会议纪要，领导小组工作规则文件，体现综合协调、监督指导、督查考评等机制制度内容的文件和执行上述机制制度情况的证实材料，明确领导小组各成员单位食品安全职责的文件，规定在乡镇街道设置相应食品安全监管部门的文件（应设置食品安全监管部门的规定，主要依据市县有关政策要求，特别是县区政府或同级编制部门文件规定应该在乡镇街道设置的机构，对其实际设置情况进行核查）。</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乡镇政府、街道办事处及市场监管、农业、畜牧等部门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55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17.基层协管员队伍健全，培训、考核及报酬保障制度完善。</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（2）全部村（社区）聘任食品安全协管员。</w:t>
            </w:r>
          </w:p>
          <w:p>
            <w:pPr>
              <w:pStyle w:val="5"/>
              <w:keepNext w:val="0"/>
              <w:keepLines w:val="0"/>
              <w:widowControl/>
              <w:suppressLineNumbers w:val="0"/>
              <w:spacing w:line="375" w:lineRule="atLeast"/>
            </w:pPr>
            <w:r>
              <w:rPr>
                <w:rFonts w:hint="eastAsia" w:ascii="宋体" w:hAnsi="宋体" w:eastAsia="宋体" w:cs="宋体"/>
                <w:sz w:val="24"/>
                <w:szCs w:val="24"/>
              </w:rPr>
              <w:t>（3）全部县区将协管员补助纳入年度财政预算并拨付到位；每年至少组织1次食品安全协管员培训；对协管员工作完成情况进行年度考核；根据考核结果发放补助。</w:t>
            </w:r>
          </w:p>
          <w:p>
            <w:pPr>
              <w:pStyle w:val="5"/>
              <w:keepNext w:val="0"/>
              <w:keepLines w:val="0"/>
              <w:widowControl/>
              <w:suppressLineNumbers w:val="0"/>
              <w:spacing w:line="375" w:lineRule="atLeast"/>
            </w:pPr>
            <w:r>
              <w:rPr>
                <w:rFonts w:hint="eastAsia" w:ascii="宋体" w:hAnsi="宋体" w:eastAsia="宋体" w:cs="宋体"/>
                <w:sz w:val="24"/>
                <w:szCs w:val="24"/>
              </w:rPr>
              <w:t>（4）全部协管员要掌握负责辖区内的食品生产经营单位底数，按要求开展检查工作。</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：协管员统计汇总明细，协管员补助财政预算批复或拨付凭证，协管员培训、考核证实材料，协管员补助发放或个人领取凭证，协管员提供的所负责辖区内的食品生产经营单位底数、名单和检查记录。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县区食安办、财政部门，食品安全协管员</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25" w:hRule="atLeast"/>
        </w:trPr>
        <w:tc>
          <w:tcPr>
            <w:tcW w:w="958"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（九）落实“四有两责”</w:t>
            </w:r>
          </w:p>
        </w:tc>
        <w:tc>
          <w:tcPr>
            <w:tcW w:w="760"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18.市、县（区）、乡镇（街道）食品安全监管岗位设置合理、权责划分明晰，监管人员数量能够满足监管工作实际需要。</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（2）市县级市场监管部门设置食品安全监管岗位，明确食品安全监管人员工作职责。</w:t>
            </w:r>
          </w:p>
          <w:p>
            <w:pPr>
              <w:pStyle w:val="5"/>
              <w:keepNext w:val="0"/>
              <w:keepLines w:val="0"/>
              <w:widowControl/>
              <w:suppressLineNumbers w:val="0"/>
              <w:spacing w:line="375" w:lineRule="atLeast"/>
            </w:pPr>
            <w:r>
              <w:rPr>
                <w:rFonts w:hint="eastAsia" w:ascii="宋体" w:hAnsi="宋体" w:eastAsia="宋体" w:cs="宋体"/>
                <w:sz w:val="24"/>
                <w:szCs w:val="24"/>
              </w:rPr>
              <w:t>（3）全部县区和乡镇街道市场监管部门的监管人员数量满足监管工作实际需要，食药监管人员全部依法取得执法资格，掌握食品安全监管必备的法律法规及专业知识。</w:t>
            </w:r>
          </w:p>
          <w:p>
            <w:pPr>
              <w:pStyle w:val="5"/>
              <w:keepNext w:val="0"/>
              <w:keepLines w:val="0"/>
              <w:widowControl/>
              <w:suppressLineNumbers w:val="0"/>
              <w:spacing w:line="375" w:lineRule="atLeast"/>
            </w:pPr>
            <w:r>
              <w:rPr>
                <w:rFonts w:hint="eastAsia" w:ascii="宋体" w:hAnsi="宋体" w:eastAsia="宋体" w:cs="宋体"/>
                <w:sz w:val="24"/>
                <w:szCs w:val="24"/>
              </w:rPr>
              <w:br w:type="textWrapping"/>
            </w:r>
            <w:r>
              <w:rPr>
                <w:rFonts w:hint="eastAsia" w:ascii="宋体" w:hAnsi="宋体" w:eastAsia="宋体" w:cs="宋体"/>
                <w:sz w:val="24"/>
                <w:szCs w:val="24"/>
              </w:rPr>
              <w:t>（4）市县市场监管部门对本系统在行政审批、日常监管、监督抽检、执法办案等方面，明确市、县、乡（如未设乡级机构可不作评价）各层级权责划分规则。</w:t>
            </w:r>
          </w:p>
          <w:p>
            <w:pPr>
              <w:pStyle w:val="5"/>
              <w:keepNext w:val="0"/>
              <w:keepLines w:val="0"/>
              <w:widowControl/>
              <w:suppressLineNumbers w:val="0"/>
              <w:spacing w:line="375" w:lineRule="atLeast"/>
            </w:pPr>
            <w:r>
              <w:rPr>
                <w:rFonts w:hint="eastAsia" w:ascii="宋体" w:hAnsi="宋体" w:eastAsia="宋体" w:cs="宋体"/>
                <w:sz w:val="24"/>
                <w:szCs w:val="24"/>
              </w:rPr>
              <w:br w:type="textWrapping"/>
            </w:r>
            <w:r>
              <w:rPr>
                <w:rFonts w:hint="eastAsia" w:ascii="宋体" w:hAnsi="宋体" w:eastAsia="宋体" w:cs="宋体"/>
                <w:sz w:val="24"/>
                <w:szCs w:val="24"/>
              </w:rPr>
              <w:t>（5）市市场监管部门承担一定数量食品生产、销售、餐饮单位日常监管任务。</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监管人员花名册，明确监管岗位职责的证实材料，执法证，体现事权划分情况的文件、纪要或其他证实材料，市市场监管部门日常监管档案及监督检查记录。食药监管人员对食品安全监管必备的法律法规及专业知识的掌握情况，采取对被抽查监管人员现场问卷答题的方式进行复核。</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市县市场监管、农业、渔业、畜牧等食品安全监管部门，市场监管部门监管人员</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人事处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07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19.县、乡级行政区域内全部科学划定食品安全网格，合理配备监管协管力量，建立健全工作制度，有效消除各类风险隐患。</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（2）县乡市场监管部门对辖区全部划定食品安全网格；所有网格全部明确网格员；网格覆盖辖区全部监管对象；网格员有效实施网格化监管消除隐患。</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县区市场监管部门提供的辖区内网格划分总体情况明细（应反映网格总数、各网格内负责人员信息、各网格内各类食品监管对象底数等），乡街市场监管所提供的具体网格基本信息明细（应反映网格四至范围、网格内各类食品监管对象底数清单、网格员信息），日常监管档案及监督检查记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县乡市场监管部门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Style w:val="7"/>
                <w:rFonts w:hint="eastAsia" w:ascii="宋体" w:hAnsi="宋体" w:eastAsia="宋体" w:cs="宋体"/>
                <w:b/>
                <w:sz w:val="24"/>
                <w:szCs w:val="24"/>
              </w:rPr>
              <w:t>应急预警处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生产处、流通处、餐饮处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20.各级监管队伍的办公业务用房、执法车辆、执法装备、设施配备达到相应建设标准要求。</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（1）市县乡各级市场监管部门全部配备执法车辆；乡镇街道市场监管所平均每4名及以下监管人员配备1台执法车辆。</w:t>
            </w:r>
            <w:r>
              <w:rPr>
                <w:rFonts w:hint="eastAsia" w:ascii="宋体" w:hAnsi="宋体" w:eastAsia="宋体" w:cs="宋体"/>
                <w:sz w:val="24"/>
                <w:szCs w:val="24"/>
              </w:rPr>
              <w:br w:type="textWrapping"/>
            </w:r>
            <w:r>
              <w:rPr>
                <w:rFonts w:hint="eastAsia" w:ascii="宋体" w:hAnsi="宋体" w:eastAsia="宋体" w:cs="宋体"/>
                <w:sz w:val="24"/>
                <w:szCs w:val="24"/>
              </w:rPr>
              <w:t>（2）全市乡镇街道市场监管所按照全省统一要求，达到本年度规范化建设目标。</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市市场监管部门提供的全市市场监管部门执法车辆配备明细（应反映市本级和各县区、乡街部门名单、相应配备的执法车辆数及监管人员数），县区市场监管部门提供的全县区市场监管部门执法车辆配备明细（应反映县区本级和各乡镇街道市场监管部门名单及相应配备的执法车辆数及监管人员数），车辆行驶证，市市场监管部门提供的全部市场监管所名单、已达到规范化建设标准的市场监管所名单、组织验收的原始记录材料或验收评分结果。</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left"/>
            </w:pPr>
            <w:r>
              <w:rPr>
                <w:rFonts w:hint="eastAsia" w:ascii="宋体" w:hAnsi="宋体" w:eastAsia="宋体" w:cs="宋体"/>
                <w:sz w:val="24"/>
                <w:szCs w:val="24"/>
              </w:rPr>
              <w:t>市县乡市场监管部门，市县财政部门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科技财务处、食品协调处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21.市、县两级食品安全检验检测机构、市级食品安全风险监测机构达到相应建设标准及能力要求。</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（2）市县两级食品安全检验检测机构全部按规定建成运行，全部达到相应建设标准及能力要求。</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食品检验检测机构建设规划/方案等，监督抽检样品的采样记录、实验室检验原始记录、检验报告。</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市县级食品安全检验检测机构，市级食品安全风险监测机构</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食品抽检处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05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22.加快建立职业化检查员队伍。依托现有资源建立职业化检查员制度，明确检查员的资格标准、检查职责、培训管理、绩效考核等要求。</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出台文件建立职业化检查员制度，制度明确了检查员资格标准、检查职责、培训管理、绩效考核要求；依托现有资源初步建成职业化检查员队伍。</w:t>
            </w:r>
          </w:p>
        </w:tc>
        <w:tc>
          <w:tcPr>
            <w:tcW w:w="4357"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职业化检查员制度文件，职业化检查员花名册。</w:t>
            </w:r>
          </w:p>
        </w:tc>
        <w:tc>
          <w:tcPr>
            <w:tcW w:w="1268"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市市场监管局等有关部门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人事处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30" w:hRule="atLeast"/>
        </w:trPr>
        <w:tc>
          <w:tcPr>
            <w:tcW w:w="958"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（十）纳入规划、保障经费</w:t>
            </w:r>
          </w:p>
        </w:tc>
        <w:tc>
          <w:tcPr>
            <w:tcW w:w="760"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23.将食品安全工作纳入本级国民经济和社会发展规划，食品安全规划作为政府专项规划出台。</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（2）市县政府将食品安全工作纳入本级国民经济和社会发展规划。</w:t>
            </w:r>
          </w:p>
          <w:p>
            <w:pPr>
              <w:pStyle w:val="5"/>
              <w:keepNext w:val="0"/>
              <w:keepLines w:val="0"/>
              <w:widowControl/>
              <w:suppressLineNumbers w:val="0"/>
              <w:spacing w:line="360" w:lineRule="atLeast"/>
            </w:pPr>
            <w:r>
              <w:rPr>
                <w:rFonts w:hint="eastAsia" w:ascii="宋体" w:hAnsi="宋体" w:eastAsia="宋体" w:cs="宋体"/>
                <w:sz w:val="24"/>
                <w:szCs w:val="24"/>
              </w:rPr>
              <w:t>（3）市县政府出台食品安全“十三五”专项规划。</w:t>
            </w:r>
          </w:p>
        </w:tc>
        <w:tc>
          <w:tcPr>
            <w:tcW w:w="4357"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规划文件，经费预算批复文件或拨付凭证。</w:t>
            </w:r>
          </w:p>
        </w:tc>
        <w:tc>
          <w:tcPr>
            <w:tcW w:w="1268"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市县政府及财政部门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综合规划处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6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24.将食品安全工作经费列入本级政府财政预算。</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（2）市县政府财政部门将食品安全工作经费列入本级政府年度财政预算。</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科技和财务处（配合）</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0" w:hRule="atLeast"/>
        </w:trPr>
        <w:tc>
          <w:tcPr>
            <w:tcW w:w="958" w:type="dxa"/>
            <w:vMerge w:val="restart"/>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（十一）科技创新能力提升</w:t>
            </w:r>
          </w:p>
        </w:tc>
        <w:tc>
          <w:tcPr>
            <w:tcW w:w="760"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25.加强资源统筹。</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配合科技局掌握全市食品及食品相关领域科技创新工作的总体情况，重点包括食品及食品相关领域科研项目、资金投入、科研机构队伍建设、科研成果成效等情况。</w:t>
            </w:r>
          </w:p>
        </w:tc>
        <w:tc>
          <w:tcPr>
            <w:tcW w:w="4357"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国家省级科研项目证实材料，国家省级专家证实材料，成果转化应用证实材料，科研人才队伍建设举措成效证实材料，支持培养企业提升科研创新能力举措成效证实材料。</w:t>
            </w:r>
          </w:p>
          <w:p>
            <w:pPr>
              <w:pStyle w:val="5"/>
              <w:keepNext w:val="0"/>
              <w:keepLines w:val="0"/>
              <w:widowControl/>
              <w:suppressLineNumbers w:val="0"/>
              <w:spacing w:line="405" w:lineRule="atLeast"/>
            </w:pPr>
            <w:r>
              <w:rPr>
                <w:rFonts w:hint="eastAsia" w:ascii="宋体" w:hAnsi="宋体" w:eastAsia="宋体" w:cs="宋体"/>
                <w:sz w:val="24"/>
                <w:szCs w:val="24"/>
              </w:rPr>
              <w:t>（政府部门、科研院所、大专院校、企业事业单位、学会协会等各方资源力量在科研领域的工作情况均在评定范围内）</w:t>
            </w:r>
          </w:p>
        </w:tc>
        <w:tc>
          <w:tcPr>
            <w:tcW w:w="1268" w:type="dxa"/>
            <w:vMerge w:val="restart"/>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市科技、市场、农业、渔业、畜牧、卫健、教育、工信、科协等部门</w:t>
            </w: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科技和财务处（配合）</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26.针对食品产业发展和安全监管面临的重大问题，开展科技共性和关键技术研发，强化科技成果转化和应用。</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（1）组织查找并确定食品产业发展和食品安全监管面临的重大问题。</w:t>
            </w:r>
            <w:r>
              <w:rPr>
                <w:rFonts w:hint="eastAsia" w:ascii="宋体" w:hAnsi="宋体" w:eastAsia="宋体" w:cs="宋体"/>
                <w:sz w:val="24"/>
                <w:szCs w:val="24"/>
              </w:rPr>
              <w:br w:type="textWrapping"/>
            </w:r>
            <w:r>
              <w:rPr>
                <w:rFonts w:hint="eastAsia" w:ascii="宋体" w:hAnsi="宋体" w:eastAsia="宋体" w:cs="宋体"/>
                <w:sz w:val="24"/>
                <w:szCs w:val="24"/>
              </w:rPr>
              <w:t>（2）针对已明确的相关重大问题，近两年内开展了有针对性的科研项目研究。有国家级项目或省级项目。</w:t>
            </w:r>
          </w:p>
          <w:p>
            <w:pPr>
              <w:pStyle w:val="5"/>
              <w:keepNext w:val="0"/>
              <w:keepLines w:val="0"/>
              <w:widowControl/>
              <w:suppressLineNumbers w:val="0"/>
              <w:spacing w:line="360" w:lineRule="atLeast"/>
            </w:pPr>
            <w:r>
              <w:rPr>
                <w:rFonts w:hint="eastAsia" w:ascii="宋体" w:hAnsi="宋体" w:eastAsia="宋体" w:cs="宋体"/>
                <w:sz w:val="24"/>
                <w:szCs w:val="24"/>
              </w:rPr>
              <w:t xml:space="preserve">（3）科研项目取得成果并有效转化和应用。 </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科技和财务处</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食品生产、流通、餐饮、市场监管中心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0"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27.加强科研人才队伍建设。</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在科研人才队伍建设方面有举措、有成效，有国家级食品领域专家或省级食品领域专家。</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科技和财务处（配合）</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95" w:hRule="atLeast"/>
        </w:trPr>
        <w:tc>
          <w:tcPr>
            <w:tcW w:w="958" w:type="dxa"/>
            <w:vMerge w:val="continue"/>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760"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73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28.支持培养企业创新领军人才，全面提升企业创新能力。</w:t>
            </w:r>
          </w:p>
        </w:tc>
        <w:tc>
          <w:tcPr>
            <w:tcW w:w="1002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 xml:space="preserve">在支持培养企业提升科研创新能力方面有举措、有成效，企业在食品领域科研中有项目、有成果，有国家级食品领域专家或省级食品领域专家。                                                                               </w:t>
            </w:r>
          </w:p>
        </w:tc>
        <w:tc>
          <w:tcPr>
            <w:tcW w:w="4357"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68" w:type="dxa"/>
            <w:vMerge w:val="continue"/>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042"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科技和财务处（配合）</w:t>
            </w:r>
          </w:p>
        </w:tc>
        <w:tc>
          <w:tcPr>
            <w:tcW w:w="1146"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w:t>
            </w:r>
          </w:p>
        </w:tc>
      </w:tr>
    </w:tbl>
    <w:p>
      <w:pPr>
        <w:pStyle w:val="5"/>
        <w:keepNext w:val="0"/>
        <w:keepLines w:val="0"/>
        <w:widowControl/>
        <w:suppressLineNumbers w:val="0"/>
      </w:pPr>
      <w:r>
        <w:rPr>
          <w:rFonts w:ascii="等线" w:hAnsi="等线" w:eastAsia="等线" w:cs="等线"/>
          <w:sz w:val="21"/>
          <w:szCs w:val="21"/>
        </w:rPr>
        <w:t>  </w:t>
      </w:r>
    </w:p>
    <w:p>
      <w:pPr>
        <w:pStyle w:val="5"/>
        <w:keepNext w:val="0"/>
        <w:keepLines w:val="0"/>
        <w:widowControl/>
        <w:suppressLineNumbers w:val="0"/>
      </w:pPr>
      <w:r>
        <w:rPr>
          <w:rFonts w:hint="eastAsia" w:ascii="黑体" w:hAnsi="宋体" w:eastAsia="黑体" w:cs="黑体"/>
          <w:sz w:val="31"/>
          <w:szCs w:val="31"/>
        </w:rPr>
        <w:t>三、食品安全源头治理有效</w:t>
      </w:r>
    </w:p>
    <w:tbl>
      <w:tblPr>
        <w:tblStyle w:val="8"/>
        <w:tblW w:w="2194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424"/>
        <w:gridCol w:w="705"/>
        <w:gridCol w:w="3000"/>
        <w:gridCol w:w="7155"/>
        <w:gridCol w:w="3975"/>
        <w:gridCol w:w="2130"/>
        <w:gridCol w:w="1275"/>
        <w:gridCol w:w="1140"/>
        <w:gridCol w:w="114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 w:hRule="atLeast"/>
        </w:trPr>
        <w:tc>
          <w:tcPr>
            <w:tcW w:w="5129" w:type="dxa"/>
            <w:gridSpan w:val="3"/>
            <w:tcBorders>
              <w:top w:val="single" w:color="auto" w:sz="6" w:space="0"/>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715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397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2130"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275"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牵头/配合</w:t>
            </w:r>
          </w:p>
        </w:tc>
        <w:tc>
          <w:tcPr>
            <w:tcW w:w="1140"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140" w:type="dxa"/>
            <w:vMerge w:val="restart"/>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 w:hRule="atLeast"/>
        </w:trPr>
        <w:tc>
          <w:tcPr>
            <w:tcW w:w="1424"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0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300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715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397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2130"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140"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c>
          <w:tcPr>
            <w:tcW w:w="1140" w:type="dxa"/>
            <w:vMerge w:val="continue"/>
            <w:tcBorders>
              <w:top w:val="single" w:color="auto" w:sz="6" w:space="0"/>
              <w:left w:val="nil"/>
              <w:bottom w:val="single" w:color="auto" w:sz="6" w:space="0"/>
              <w:right w:val="single" w:color="auto" w:sz="6" w:space="0"/>
            </w:tcBorders>
            <w:shd w:val="clear" w:color="auto" w:fill="auto"/>
            <w:tcMar>
              <w:top w:w="90" w:type="dxa"/>
              <w:left w:w="90" w:type="dxa"/>
              <w:bottom w:w="90" w:type="dxa"/>
              <w:right w:w="90"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070" w:hRule="atLeast"/>
        </w:trPr>
        <w:tc>
          <w:tcPr>
            <w:tcW w:w="1424"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（十六）餐厨废弃物集中收集、资源化利用和无害化处理体系基本建立</w:t>
            </w:r>
          </w:p>
        </w:tc>
        <w:tc>
          <w:tcPr>
            <w:tcW w:w="70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00" w:lineRule="atLeast"/>
              <w:ind w:right="120"/>
              <w:jc w:val="center"/>
            </w:pPr>
            <w:r>
              <w:rPr>
                <w:rFonts w:hint="eastAsia" w:ascii="宋体" w:hAnsi="宋体" w:eastAsia="宋体" w:cs="宋体"/>
                <w:spacing w:val="15"/>
                <w:sz w:val="24"/>
                <w:szCs w:val="24"/>
              </w:rPr>
              <w:t>基本项</w:t>
            </w:r>
          </w:p>
        </w:tc>
        <w:tc>
          <w:tcPr>
            <w:tcW w:w="300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44.及时发现并查处餐厨废弃物以“地沟油”等形式回流餐桌的案件。</w:t>
            </w:r>
          </w:p>
        </w:tc>
        <w:tc>
          <w:tcPr>
            <w:tcW w:w="71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（2）食品生产经营单位在食用油生产、销售、使用以及废弃油脂、餐厨废弃物管理等方面落实主体责任和有关规定。</w:t>
            </w:r>
          </w:p>
          <w:p>
            <w:pPr>
              <w:pStyle w:val="5"/>
              <w:keepNext w:val="0"/>
              <w:keepLines w:val="0"/>
              <w:widowControl/>
              <w:suppressLineNumbers w:val="0"/>
              <w:spacing w:line="360" w:lineRule="atLeast"/>
            </w:pPr>
            <w:r>
              <w:rPr>
                <w:rFonts w:hint="eastAsia" w:ascii="宋体" w:hAnsi="宋体" w:eastAsia="宋体" w:cs="宋体"/>
                <w:sz w:val="24"/>
                <w:szCs w:val="24"/>
              </w:rPr>
              <w:t>（3）对涉“地沟油”等问题线索（重点是涉及食用油或相关隐患线索的投诉举报件或监督抽检不合格产品）案件查办应符合要求。</w:t>
            </w:r>
          </w:p>
        </w:tc>
        <w:tc>
          <w:tcPr>
            <w:tcW w:w="39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投诉举报、监督抽检中涉及食用油或相关领域问题线索查办情况的证实材料。</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213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市县住建、市场监管等部门，食品生产、销售、餐饮单位，餐厨废弃物收集处置单位</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牵头</w:t>
            </w:r>
          </w:p>
        </w:tc>
        <w:tc>
          <w:tcPr>
            <w:tcW w:w="114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餐饮处</w:t>
            </w:r>
          </w:p>
        </w:tc>
        <w:tc>
          <w:tcPr>
            <w:tcW w:w="114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食品生产处、流通处、食品抽检处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475" w:hRule="atLeast"/>
        </w:trPr>
        <w:tc>
          <w:tcPr>
            <w:tcW w:w="1424" w:type="dxa"/>
            <w:tcBorders>
              <w:top w:val="nil"/>
              <w:left w:val="single" w:color="auto" w:sz="6" w:space="0"/>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（十七）食品产业集约化、规模化水平较高</w:t>
            </w:r>
          </w:p>
        </w:tc>
        <w:tc>
          <w:tcPr>
            <w:tcW w:w="70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00" w:lineRule="atLeast"/>
              <w:ind w:right="120"/>
              <w:jc w:val="center"/>
            </w:pPr>
            <w:r>
              <w:rPr>
                <w:rFonts w:hint="eastAsia" w:ascii="宋体" w:hAnsi="宋体" w:eastAsia="宋体" w:cs="宋体"/>
                <w:spacing w:val="15"/>
                <w:sz w:val="24"/>
                <w:szCs w:val="24"/>
              </w:rPr>
              <w:t>基本项</w:t>
            </w:r>
          </w:p>
        </w:tc>
        <w:tc>
          <w:tcPr>
            <w:tcW w:w="300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47.农贸市场等食品集中交易市场分布满足需求，农贸市场建设标准化率较高</w:t>
            </w:r>
          </w:p>
        </w:tc>
        <w:tc>
          <w:tcPr>
            <w:tcW w:w="715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（1）完成全市农贸市场升级改造，达到内外环境整洁，全部达到划行归类、生熟分开、摊床信息板统一并在明显处悬挂，市场有照率100%、亮照率100%。</w:t>
            </w:r>
          </w:p>
          <w:p>
            <w:pPr>
              <w:pStyle w:val="5"/>
              <w:keepNext w:val="0"/>
              <w:keepLines w:val="0"/>
              <w:widowControl/>
              <w:suppressLineNumbers w:val="0"/>
              <w:spacing w:line="360" w:lineRule="atLeast"/>
            </w:pPr>
            <w:r>
              <w:rPr>
                <w:rFonts w:hint="eastAsia" w:ascii="宋体" w:hAnsi="宋体" w:eastAsia="宋体" w:cs="宋体"/>
                <w:sz w:val="24"/>
                <w:szCs w:val="24"/>
              </w:rPr>
              <w:t>（2）督促农贸市场开办者落实企业主体责任，对开办者食品安全管理责任及相关制度督促落实。</w:t>
            </w:r>
          </w:p>
          <w:p>
            <w:pPr>
              <w:pStyle w:val="5"/>
              <w:keepNext w:val="0"/>
              <w:keepLines w:val="0"/>
              <w:widowControl/>
              <w:suppressLineNumbers w:val="0"/>
              <w:spacing w:line="360" w:lineRule="atLeast"/>
            </w:pPr>
            <w:r>
              <w:rPr>
                <w:rFonts w:hint="eastAsia" w:ascii="宋体" w:hAnsi="宋体" w:eastAsia="宋体" w:cs="宋体"/>
                <w:sz w:val="24"/>
                <w:szCs w:val="24"/>
              </w:rPr>
              <w:t>（3）规范早、晚夜市菜市场管理，督促早晚夜市划时段和区域经营的小摊贩落实主体责任。</w:t>
            </w:r>
          </w:p>
          <w:p>
            <w:pPr>
              <w:pStyle w:val="5"/>
              <w:keepNext w:val="0"/>
              <w:keepLines w:val="0"/>
              <w:widowControl/>
              <w:suppressLineNumbers w:val="0"/>
              <w:spacing w:line="360" w:lineRule="atLeast"/>
            </w:pPr>
            <w:r>
              <w:rPr>
                <w:rFonts w:hint="eastAsia" w:ascii="宋体" w:hAnsi="宋体" w:eastAsia="宋体" w:cs="宋体"/>
                <w:sz w:val="24"/>
                <w:szCs w:val="24"/>
              </w:rPr>
              <w:t>（4）督促农贸市场、早夜市入户者落实经营资质、退货查验、经营条件改善、自查、主动报告等主体责任，督促入场销售者依法依规从事销售活动。</w:t>
            </w:r>
          </w:p>
        </w:tc>
        <w:tc>
          <w:tcPr>
            <w:tcW w:w="39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405" w:lineRule="atLeast"/>
              <w:ind w:left="0" w:firstLine="120"/>
            </w:pPr>
            <w:r>
              <w:rPr>
                <w:rFonts w:hint="eastAsia" w:ascii="宋体" w:hAnsi="宋体" w:eastAsia="宋体" w:cs="宋体"/>
                <w:sz w:val="24"/>
                <w:szCs w:val="24"/>
              </w:rPr>
              <w:t>1.审核材料：全市农贸市场本底清单；食品早夜市本底清单</w:t>
            </w:r>
          </w:p>
          <w:p>
            <w:pPr>
              <w:pStyle w:val="5"/>
              <w:keepNext w:val="0"/>
              <w:keepLines w:val="0"/>
              <w:widowControl/>
              <w:suppressLineNumbers w:val="0"/>
              <w:spacing w:line="360" w:lineRule="atLeast"/>
            </w:pPr>
            <w:r>
              <w:rPr>
                <w:rFonts w:hint="eastAsia" w:ascii="宋体" w:hAnsi="宋体" w:eastAsia="宋体" w:cs="宋体"/>
                <w:sz w:val="24"/>
                <w:szCs w:val="24"/>
              </w:rPr>
              <w:t>2.检查点位</w:t>
            </w:r>
          </w:p>
        </w:tc>
        <w:tc>
          <w:tcPr>
            <w:tcW w:w="213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市商务局、工信委、市市场局</w:t>
            </w:r>
          </w:p>
        </w:tc>
        <w:tc>
          <w:tcPr>
            <w:tcW w:w="1275"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center"/>
          </w:tcPr>
          <w:p>
            <w:pPr>
              <w:pStyle w:val="5"/>
              <w:keepNext w:val="0"/>
              <w:keepLines w:val="0"/>
              <w:widowControl/>
              <w:suppressLineNumbers w:val="0"/>
              <w:spacing w:line="360" w:lineRule="atLeast"/>
            </w:pPr>
            <w:r>
              <w:rPr>
                <w:rStyle w:val="7"/>
                <w:rFonts w:hint="eastAsia" w:ascii="宋体" w:hAnsi="宋体" w:eastAsia="宋体" w:cs="宋体"/>
                <w:b/>
                <w:sz w:val="24"/>
                <w:szCs w:val="24"/>
              </w:rPr>
              <w:t>牵头</w:t>
            </w:r>
          </w:p>
        </w:tc>
        <w:tc>
          <w:tcPr>
            <w:tcW w:w="114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360" w:lineRule="atLeast"/>
            </w:pPr>
            <w:r>
              <w:rPr>
                <w:rStyle w:val="7"/>
                <w:rFonts w:hint="eastAsia" w:ascii="宋体" w:hAnsi="宋体" w:eastAsia="宋体" w:cs="宋体"/>
                <w:b/>
                <w:sz w:val="24"/>
                <w:szCs w:val="24"/>
              </w:rPr>
              <w:t>食品流通处</w:t>
            </w:r>
          </w:p>
        </w:tc>
        <w:tc>
          <w:tcPr>
            <w:tcW w:w="1140" w:type="dxa"/>
            <w:tcBorders>
              <w:top w:val="nil"/>
              <w:left w:val="nil"/>
              <w:bottom w:val="single" w:color="auto" w:sz="6" w:space="0"/>
              <w:right w:val="single" w:color="auto" w:sz="6" w:space="0"/>
            </w:tcBorders>
            <w:shd w:val="clear" w:color="auto" w:fill="auto"/>
            <w:tcMar>
              <w:top w:w="90" w:type="dxa"/>
              <w:left w:w="90" w:type="dxa"/>
              <w:bottom w:w="90" w:type="dxa"/>
              <w:right w:w="90"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w:t>
            </w:r>
          </w:p>
        </w:tc>
      </w:tr>
    </w:tbl>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黑体" w:hAnsi="宋体" w:eastAsia="黑体" w:cs="黑体"/>
          <w:sz w:val="31"/>
          <w:szCs w:val="31"/>
        </w:rPr>
        <w:t>四、严格实施全程监管</w:t>
      </w:r>
    </w:p>
    <w:tbl>
      <w:tblPr>
        <w:tblStyle w:val="8"/>
        <w:tblW w:w="22229"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95"/>
        <w:gridCol w:w="780"/>
        <w:gridCol w:w="4470"/>
        <w:gridCol w:w="6525"/>
        <w:gridCol w:w="4965"/>
        <w:gridCol w:w="1695"/>
        <w:gridCol w:w="1275"/>
        <w:gridCol w:w="142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652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496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169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27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424"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10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652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96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4"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44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（十九）执行更严格的标准</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ind w:left="120" w:right="120"/>
              <w:jc w:val="center"/>
            </w:pPr>
            <w:r>
              <w:rPr>
                <w:rFonts w:hint="eastAsia" w:ascii="宋体" w:hAnsi="宋体" w:eastAsia="宋体" w:cs="宋体"/>
                <w:spacing w:val="15"/>
                <w:sz w:val="24"/>
                <w:szCs w:val="24"/>
              </w:rPr>
              <w:t>鼓励项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52.鼓励创建城市按照发达国家和地区更加严格的食品质量安全标准体系，对当地食品安全状况开展评估分析，有针对性地改进本地食品安全工作。</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w:t>
            </w:r>
          </w:p>
          <w:p>
            <w:pPr>
              <w:pStyle w:val="5"/>
              <w:keepNext w:val="0"/>
              <w:keepLines w:val="0"/>
              <w:widowControl/>
              <w:suppressLineNumbers w:val="0"/>
              <w:spacing w:line="360" w:lineRule="atLeast"/>
            </w:pPr>
            <w:r>
              <w:rPr>
                <w:rFonts w:hint="eastAsia" w:ascii="宋体" w:hAnsi="宋体" w:eastAsia="宋体" w:cs="宋体"/>
                <w:sz w:val="24"/>
                <w:szCs w:val="24"/>
              </w:rPr>
              <w:t>（2）按照发达国家和地区更加严格的食品质量安全标准体系，定期对当地食品安全状况开展评估形成评估材料，能够反映差距不足和改进措施等内容。</w:t>
            </w:r>
          </w:p>
          <w:p>
            <w:pPr>
              <w:pStyle w:val="5"/>
              <w:keepNext w:val="0"/>
              <w:keepLines w:val="0"/>
              <w:widowControl/>
              <w:suppressLineNumbers w:val="0"/>
              <w:spacing w:line="360" w:lineRule="atLeast"/>
            </w:pPr>
            <w:r>
              <w:rPr>
                <w:rFonts w:hint="eastAsia" w:ascii="宋体" w:hAnsi="宋体" w:eastAsia="宋体" w:cs="宋体"/>
                <w:sz w:val="24"/>
                <w:szCs w:val="24"/>
              </w:rPr>
              <w:t>（3）改进措施得到落实并取得积极成效。</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评估材料，实施改进提升措施并取得成效的证实材料。（食品质量安全标准体系包含但不限于食品安全标准体系；各相关部门和工作领域对标国际和先进发达地区的标准体系与先进管理理念措施，对本地本领域工作进行评估并提出措施加以改进提升的，均在评定范围内。）</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市卫健、市场监管、农业、渔业、畜牧等部门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新闻宣传处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食品生产处、流通处、餐饮处、市场中心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28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53.加强食品安全标准跟踪评价和宣传贯彻培训。</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（2）在网站主动链接并宣称国家标准跟踪评价平台，制定专门机构负责标准跟踪评价相关工作，主动公开国家标准查询渠道。</w:t>
            </w:r>
          </w:p>
          <w:p>
            <w:pPr>
              <w:pStyle w:val="5"/>
              <w:keepNext w:val="0"/>
              <w:keepLines w:val="0"/>
              <w:widowControl/>
              <w:suppressLineNumbers w:val="0"/>
              <w:spacing w:line="360" w:lineRule="atLeast"/>
            </w:pPr>
            <w:r>
              <w:rPr>
                <w:rFonts w:hint="eastAsia" w:ascii="宋体" w:hAnsi="宋体" w:eastAsia="宋体" w:cs="宋体"/>
                <w:sz w:val="24"/>
                <w:szCs w:val="24"/>
              </w:rPr>
              <w:t>（3）市市场监管、市农业等部门组织收集食品安全标准执行中的问题，收集到问题建议通报市卫健行政部门。</w:t>
            </w:r>
          </w:p>
          <w:p>
            <w:pPr>
              <w:pStyle w:val="5"/>
              <w:keepNext w:val="0"/>
              <w:keepLines w:val="0"/>
              <w:widowControl/>
              <w:suppressLineNumbers w:val="0"/>
              <w:spacing w:line="360" w:lineRule="atLeast"/>
            </w:pPr>
            <w:r>
              <w:rPr>
                <w:rFonts w:hint="eastAsia" w:ascii="宋体" w:hAnsi="宋体" w:eastAsia="宋体" w:cs="宋体"/>
                <w:sz w:val="24"/>
                <w:szCs w:val="24"/>
              </w:rPr>
              <w:t>（4）市县市场监管部门开展食品安全标准宣传教育和培训交流活动。</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Pr>
            <w:r>
              <w:rPr>
                <w:rStyle w:val="7"/>
                <w:rFonts w:hint="eastAsia" w:ascii="宋体" w:hAnsi="宋体" w:eastAsia="宋体" w:cs="宋体"/>
                <w:b/>
                <w:sz w:val="24"/>
                <w:szCs w:val="24"/>
              </w:rPr>
              <w:t>审核材料：</w:t>
            </w:r>
            <w:r>
              <w:rPr>
                <w:rFonts w:hint="eastAsia" w:ascii="宋体" w:hAnsi="宋体" w:eastAsia="宋体" w:cs="宋体"/>
                <w:sz w:val="24"/>
                <w:szCs w:val="24"/>
              </w:rPr>
              <w:t>标准跟踪评价平台，官方网站，组织开展标准跟踪评价的证实材料，开展标准宣教培训交流活动的证实材料。</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市县卫健、市场监管、农业、渔业、畜牧部门，食用农产品种植养殖单位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食品抽检处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食品生产处、食品流通处、餐饮处、新闻宣传处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940" w:hRule="atLeast"/>
        </w:trPr>
        <w:tc>
          <w:tcPr>
            <w:tcW w:w="10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（二十）加强智慧监管，运用大数据提升食品安全治理现代化水平</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54.重点围绕行政审批、监管检查、稽查执法、应急管理、检验监测、风险评估、信用管理、公共服务等业务领域，实施“互联网+”食品安全监管项目，推进食品安全监管大数据资源共享和应用，建立完善的监管对象数据库和高效的信息化监管系统，形成适应食品监管实际需要的信息化监管能力，实现“机器换人”。</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（1）掌握全市总体情况和各个县区基层的使用情况。</w:t>
            </w:r>
          </w:p>
          <w:p>
            <w:pPr>
              <w:pStyle w:val="5"/>
              <w:keepNext w:val="0"/>
              <w:keepLines w:val="0"/>
              <w:widowControl/>
              <w:suppressLineNumbers w:val="0"/>
              <w:spacing w:line="360" w:lineRule="atLeast"/>
            </w:pPr>
            <w:r>
              <w:rPr>
                <w:rFonts w:hint="eastAsia" w:ascii="宋体" w:hAnsi="宋体" w:eastAsia="宋体" w:cs="宋体"/>
                <w:sz w:val="24"/>
                <w:szCs w:val="24"/>
              </w:rPr>
              <w:t>（2）根据具体工作要求，结合实际工作需要，在重点工作领域建成使用信息化数据平台；对信息数据分析使用。重点是相关部门在行政审批、监管检查、稽查执法、应急管理（含舆情监测）、检验监测、风险评估、投诉举报、信用管理、公共服务以及农业领域的农业投入品监管、农产品质量追溯、农产品生产经营过程监控等业务领域开展的信息化建设和使用情况；</w:t>
            </w:r>
          </w:p>
          <w:p>
            <w:pPr>
              <w:pStyle w:val="5"/>
              <w:keepNext w:val="0"/>
              <w:keepLines w:val="0"/>
              <w:widowControl/>
              <w:suppressLineNumbers w:val="0"/>
              <w:spacing w:line="360" w:lineRule="atLeast"/>
            </w:pPr>
            <w:r>
              <w:rPr>
                <w:rFonts w:hint="eastAsia" w:ascii="宋体" w:hAnsi="宋体" w:eastAsia="宋体" w:cs="宋体"/>
                <w:sz w:val="24"/>
                <w:szCs w:val="24"/>
              </w:rPr>
              <w:t>（3）信息平台终端用户使用正常。信息平台终端用户是指，已建成使用的信息平台在县或乡乃至企业等最小单元设置最末端数据信息录入使用的用户。</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Pr>
            <w:r>
              <w:rPr>
                <w:rStyle w:val="7"/>
                <w:rFonts w:hint="eastAsia" w:ascii="宋体" w:hAnsi="宋体" w:eastAsia="宋体" w:cs="宋体"/>
                <w:b/>
                <w:sz w:val="24"/>
                <w:szCs w:val="24"/>
              </w:rPr>
              <w:t>1.审核材料：</w:t>
            </w:r>
            <w:r>
              <w:rPr>
                <w:rFonts w:hint="eastAsia" w:ascii="宋体" w:hAnsi="宋体" w:eastAsia="宋体" w:cs="宋体"/>
                <w:sz w:val="24"/>
                <w:szCs w:val="24"/>
              </w:rPr>
              <w:t>信息化平台立项材料及建设方案，已建成的信息化平台，数据分析使用的证实材料。</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市市场监管、农业、渔业、畜牧等部门，信息平台终端用户</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应急预警处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745" w:hRule="atLeast"/>
        </w:trPr>
        <w:tc>
          <w:tcPr>
            <w:tcW w:w="109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（二十一）严格食品生产经营者现场检查</w:t>
            </w: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55.实施标准化现场检查制度，实现现场检查规范化、监管信息公开化。对食品生产经营者、食品添加剂生产企业开展风险等级划分，科学制定市、县级检查计划，确定检查项目、频次，对各类监管对象进行日常监督检查、体系检查和飞行检查，实现现场检查全覆盖。</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（2）科学制定年度检查计划，明确检查项目、频次。</w:t>
            </w:r>
            <w:r>
              <w:rPr>
                <w:rFonts w:hint="eastAsia" w:ascii="宋体" w:hAnsi="宋体" w:eastAsia="宋体" w:cs="宋体"/>
                <w:sz w:val="24"/>
                <w:szCs w:val="24"/>
              </w:rPr>
              <w:br w:type="textWrapping"/>
            </w:r>
            <w:r>
              <w:rPr>
                <w:rFonts w:hint="eastAsia" w:ascii="宋体" w:hAnsi="宋体" w:eastAsia="宋体" w:cs="宋体"/>
                <w:sz w:val="24"/>
                <w:szCs w:val="24"/>
              </w:rPr>
              <w:t>（3）按规定完成全部食品生产经营单位风险等级划分。</w:t>
            </w:r>
            <w:r>
              <w:rPr>
                <w:rFonts w:hint="eastAsia" w:ascii="宋体" w:hAnsi="宋体" w:eastAsia="宋体" w:cs="宋体"/>
                <w:sz w:val="24"/>
                <w:szCs w:val="24"/>
              </w:rPr>
              <w:br w:type="textWrapping"/>
            </w:r>
            <w:r>
              <w:rPr>
                <w:rFonts w:hint="eastAsia" w:ascii="宋体" w:hAnsi="宋体" w:eastAsia="宋体" w:cs="宋体"/>
                <w:sz w:val="24"/>
                <w:szCs w:val="24"/>
              </w:rPr>
              <w:t>（4）现场检查全覆盖并且符合相关规范要求。（达到规定频次，使用规定的现场检查记录，现场检查记录规范，按规定在生产经营场所醒目位置张贴日常监督检查结果记录表，如实记录存在不到位情形并依法依规处置）</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检查计划，风险等级划分情况汇总明细，监管档案，风险等级划分记录，日常监督检查记录，行政处罚文书。</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市县乡市场监管、农业、渔业、畜牧部门，食品生产经营单位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食品生产处、流通处、餐饮处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58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（二十二）强化抽样检验</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56.市、县级食品安全监管部门承担本行政区域内具有一定规模的市场销售的蔬菜、水果、畜禽肉、鲜蛋、水产品、奶等产品中农药兽药残留抽检任务以及小企业、小作坊和餐饮服务单位抽检任务。</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级市场监管部门组织实施的抽检工作，能够覆盖本辖区内具有一定规模的市场销售的蔬菜、水果、畜禽肉、鲜蛋、水产品、奶等产品中农药兽药残留抽检任务，以及小企业、小作坊和餐饮单位抽检任务。</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抽检监测计划方案，抽检监测工作总结报告或相关数据统计明细，民意征集等活动收集到的群众关心重点问题汇总分析材料，不合格产品后处理案卷，食品安全抽检监测信息系统。</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市县市场监管、农业/粮食、渔业、畜牧、卫健、部门，乡镇农产品质量安全监管站，放心粮油单位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食品抽检处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71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57.全面掌握本地农药兽药使用品种、数量，特别是各类食用农产品种植、养殖过程中农药兽药使用情况，制定的年度抽检计划和按月实施的抽检样本数量要结合群众关心的食品安全问题，能够覆盖全部当地生产销售的上述品种，每个品种抽样不少于20个。</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（2）市县级市场监管部门都能够组织实施本辖区的食品安全抽检任务，能够结合群众关心的食品安全问题安排抽检任务。</w:t>
            </w:r>
          </w:p>
          <w:p>
            <w:pPr>
              <w:pStyle w:val="5"/>
              <w:keepNext w:val="0"/>
              <w:keepLines w:val="0"/>
              <w:widowControl/>
              <w:suppressLineNumbers w:val="0"/>
              <w:spacing w:line="360" w:lineRule="atLeast"/>
            </w:pPr>
            <w:r>
              <w:rPr>
                <w:rFonts w:hint="eastAsia" w:ascii="宋体" w:hAnsi="宋体" w:eastAsia="宋体" w:cs="宋体"/>
                <w:sz w:val="24"/>
                <w:szCs w:val="24"/>
              </w:rPr>
              <w:t>（3）全市食品安全抽检整体工作按月实施，蔬菜、水果、畜禽肉、鲜蛋、水产品、奶产品6类产品每类每月抽样不少于20个。（每月每类食品抽样不少于20个样品的统计量，可包含市县各级部门当月共同完成的抽样量）</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食品抽检处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94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58.对不合格产品及时、全面开展上下游溯源追查，产品召回、处置等后处理工作及时彻底。</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（2）市县级市场监管部门对抽检发现的不合格产品后处理工作及时彻底。并按规定将处置情况录入“食品安全抽检监测信息系统”核查处置模块。</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食品抽检处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食品生产处、流通处、餐饮处、市场监管中心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93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59.按规定完成新收获和库存粮食质量安全监测、“放心粮油”检测抽检等任务。</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配合市级粮食行政管理部门对“放心粮油”示范企业和经销店（挂牌店）监测覆盖面达到总数20%以上。</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食品流通处（配合）</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11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（二十四）放心肉菜示范超市创建有力</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63.创建城市至少完成1家示范超市创建。</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w:t>
            </w:r>
          </w:p>
          <w:p>
            <w:pPr>
              <w:pStyle w:val="5"/>
              <w:keepNext w:val="0"/>
              <w:keepLines w:val="0"/>
              <w:widowControl/>
              <w:suppressLineNumbers w:val="0"/>
              <w:spacing w:line="405" w:lineRule="atLeast"/>
            </w:pPr>
            <w:r>
              <w:rPr>
                <w:rFonts w:hint="eastAsia" w:ascii="宋体" w:hAnsi="宋体" w:eastAsia="宋体" w:cs="宋体"/>
                <w:sz w:val="24"/>
                <w:szCs w:val="24"/>
              </w:rPr>
              <w:t>（2）至少1家放心肉菜示范超市达到《“放心肉菜示范超市”检查细则》要求（总分大于等于90分）。</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监管部门检查评价放心肉菜示范超市的有关记录报告、监督检查记录和监督抽检报告，放心肉菜示范超市进货查验记录等。</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left"/>
            </w:pPr>
            <w:r>
              <w:rPr>
                <w:rFonts w:hint="eastAsia" w:ascii="宋体" w:hAnsi="宋体" w:eastAsia="宋体" w:cs="宋体"/>
                <w:sz w:val="24"/>
                <w:szCs w:val="24"/>
              </w:rPr>
              <w:t>市市场监管部门，放心肉菜示范超市</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4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64.示范超市设立优质精品肉菜专柜，严把进货关。</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w:t>
            </w:r>
          </w:p>
          <w:p>
            <w:pPr>
              <w:pStyle w:val="5"/>
              <w:keepNext w:val="0"/>
              <w:keepLines w:val="0"/>
              <w:widowControl/>
              <w:suppressLineNumbers w:val="0"/>
              <w:spacing w:line="405" w:lineRule="atLeast"/>
            </w:pPr>
            <w:r>
              <w:rPr>
                <w:rFonts w:hint="eastAsia" w:ascii="宋体" w:hAnsi="宋体" w:eastAsia="宋体" w:cs="宋体"/>
                <w:sz w:val="24"/>
                <w:szCs w:val="24"/>
              </w:rPr>
              <w:t>（2）放心肉菜示范超市设立优质精品专柜且专柜产品品类达到6个。</w:t>
            </w:r>
            <w:r>
              <w:rPr>
                <w:rFonts w:hint="eastAsia" w:ascii="宋体" w:hAnsi="宋体" w:eastAsia="宋体" w:cs="宋体"/>
                <w:sz w:val="24"/>
                <w:szCs w:val="24"/>
              </w:rPr>
              <w:br w:type="textWrapping"/>
            </w:r>
            <w:r>
              <w:rPr>
                <w:rFonts w:hint="eastAsia" w:ascii="宋体" w:hAnsi="宋体" w:eastAsia="宋体" w:cs="宋体"/>
                <w:sz w:val="24"/>
                <w:szCs w:val="24"/>
              </w:rPr>
              <w:t>（3）生鲜肉100%来自合法屠宰企业，蔬菜70%以上品种由规模化种植基地供应。</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81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65.农业、食品药品监管等部门要按照示范超市公示的标准每月开展不少于1次的监督检查和监督抽检。</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w:t>
            </w:r>
          </w:p>
          <w:p>
            <w:pPr>
              <w:pStyle w:val="5"/>
              <w:keepNext w:val="0"/>
              <w:keepLines w:val="0"/>
              <w:widowControl/>
              <w:suppressLineNumbers w:val="0"/>
              <w:spacing w:line="405" w:lineRule="atLeast"/>
            </w:pPr>
            <w:r>
              <w:rPr>
                <w:rFonts w:hint="eastAsia" w:ascii="宋体" w:hAnsi="宋体" w:eastAsia="宋体" w:cs="宋体"/>
                <w:sz w:val="24"/>
                <w:szCs w:val="24"/>
              </w:rPr>
              <w:t>（2）监管部门开展检查，开展抽检。</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9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（二十五）餐饮业质量安全水平明显提升</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66.实施餐饮业质量安全提升工程。</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（2）市政府对餐饮业质量安全提升工程进行部署。</w:t>
            </w:r>
          </w:p>
          <w:p>
            <w:pPr>
              <w:pStyle w:val="5"/>
              <w:keepNext w:val="0"/>
              <w:keepLines w:val="0"/>
              <w:widowControl/>
              <w:suppressLineNumbers w:val="0"/>
              <w:spacing w:line="405" w:lineRule="atLeast"/>
            </w:pPr>
            <w:r>
              <w:rPr>
                <w:rFonts w:hint="eastAsia" w:ascii="宋体" w:hAnsi="宋体" w:eastAsia="宋体" w:cs="宋体"/>
                <w:sz w:val="24"/>
                <w:szCs w:val="24"/>
              </w:rPr>
              <w:t>（3）县区政府对市级餐饮业质量安全提升工程文件进行批转传达、部署。</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餐饮业质量安全提升工程文件。</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市县</w:t>
            </w:r>
          </w:p>
          <w:p>
            <w:pPr>
              <w:pStyle w:val="5"/>
              <w:keepNext w:val="0"/>
              <w:keepLines w:val="0"/>
              <w:widowControl/>
              <w:suppressLineNumbers w:val="0"/>
              <w:spacing w:line="360" w:lineRule="atLeast"/>
              <w:jc w:val="center"/>
            </w:pPr>
            <w:r>
              <w:rPr>
                <w:rFonts w:hint="eastAsia" w:ascii="宋体" w:hAnsi="宋体" w:eastAsia="宋体" w:cs="宋体"/>
                <w:sz w:val="24"/>
                <w:szCs w:val="24"/>
              </w:rPr>
              <w:t>政府</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21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67.获得许可证的餐饮服务单位全面推行“明厨亮灶”。</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（2）获得许可证的学校食堂、托幼机构食堂、大型餐饮单位全面推行“明厨亮灶”，“明厨亮灶”设备设施正常运转并设在显著位置。</w:t>
            </w:r>
          </w:p>
          <w:p>
            <w:pPr>
              <w:pStyle w:val="5"/>
              <w:keepNext w:val="0"/>
              <w:keepLines w:val="0"/>
              <w:widowControl/>
              <w:suppressLineNumbers w:val="0"/>
              <w:spacing w:line="405" w:lineRule="atLeast"/>
            </w:pPr>
            <w:r>
              <w:rPr>
                <w:rFonts w:hint="eastAsia" w:ascii="宋体" w:hAnsi="宋体" w:eastAsia="宋体" w:cs="宋体"/>
                <w:sz w:val="24"/>
                <w:szCs w:val="24"/>
              </w:rPr>
              <w:t>（3）按照规划要求，对全面获证餐饮单位推行“明厨亮灶”进行工作部署。逐年扩大获证企业“明厨亮灶”比例，到2020年全面推行“明厨亮灶”。</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：全市学校食堂、托幼机构食堂、大型餐饮单位明细。逐年扩大比例证实材料。</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Fonts w:hint="eastAsia" w:ascii="宋体" w:hAnsi="宋体" w:eastAsia="宋体" w:cs="宋体"/>
                <w:sz w:val="24"/>
                <w:szCs w:val="24"/>
              </w:rPr>
              <w:t>餐饮</w:t>
            </w:r>
          </w:p>
          <w:p>
            <w:pPr>
              <w:pStyle w:val="5"/>
              <w:keepNext w:val="0"/>
              <w:keepLines w:val="0"/>
              <w:widowControl/>
              <w:suppressLineNumbers w:val="0"/>
              <w:spacing w:line="360" w:lineRule="atLeast"/>
              <w:jc w:val="center"/>
            </w:pPr>
            <w:r>
              <w:rPr>
                <w:rFonts w:hint="eastAsia" w:ascii="宋体" w:hAnsi="宋体" w:eastAsia="宋体" w:cs="宋体"/>
                <w:sz w:val="24"/>
                <w:szCs w:val="24"/>
              </w:rPr>
              <w:t>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154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68.落实网络订餐平台食品经营资质审核责任，完善网络订餐在线投诉和售后维权机制。</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（1）掌握全市总体情况和各个县区基层的具体情况（掌握网络订餐平台底数及全市入网餐饮单位底数，各区入网餐饮单位分布情况）。</w:t>
            </w:r>
          </w:p>
          <w:p>
            <w:pPr>
              <w:pStyle w:val="5"/>
              <w:keepNext w:val="0"/>
              <w:keepLines w:val="0"/>
              <w:widowControl/>
              <w:suppressLineNumbers w:val="0"/>
              <w:spacing w:line="405" w:lineRule="atLeast"/>
            </w:pPr>
            <w:r>
              <w:rPr>
                <w:rFonts w:hint="eastAsia" w:ascii="宋体" w:hAnsi="宋体" w:eastAsia="宋体" w:cs="宋体"/>
                <w:sz w:val="24"/>
                <w:szCs w:val="24"/>
              </w:rPr>
              <w:t>（2）落实网络订餐平台食品经营资质审核责任，网络平台公示的食品经营许可证等资质信息和实体店相关信息一致。</w:t>
            </w:r>
          </w:p>
          <w:p>
            <w:pPr>
              <w:pStyle w:val="5"/>
              <w:keepNext w:val="0"/>
              <w:keepLines w:val="0"/>
              <w:widowControl/>
              <w:suppressLineNumbers w:val="0"/>
              <w:spacing w:line="405" w:lineRule="atLeast"/>
            </w:pPr>
            <w:r>
              <w:rPr>
                <w:rFonts w:hint="eastAsia" w:ascii="宋体" w:hAnsi="宋体" w:eastAsia="宋体" w:cs="宋体"/>
                <w:sz w:val="24"/>
                <w:szCs w:val="24"/>
              </w:rPr>
              <w:t>（3）完善并执行网络订餐在线投诉和售后维权机制。</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：网络订餐平台明细。</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网络订餐单位，网络订餐平台</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网络交易监管处，市场监管中心投诉举报服务部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81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69.托幼机构、养老机构、建筑工地、医院食堂等集中用餐单位的主管部门应当加强对集中用餐单位的食品安全教育和日常管理。</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配合托幼机构、养老机构、建筑工地、医院食堂等集中用餐单位主管部门落实食品安全主体责任。</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相关集中用餐单位明细。</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县级教育、民政、住建、卫健行政部门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食品餐饮处（配合）</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91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（二十六）学校校园及周边食品安全监管到位</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72.把校园食品安全纳入地方食品安全年度考核，列为“平安校园创建”和“校园及周边治安综合治理工作”的考核内容。</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市食安办将校园食品安全纳入全市食品安全年度考核。</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Pr>
            <w:r>
              <w:rPr>
                <w:rStyle w:val="7"/>
                <w:rFonts w:hint="eastAsia" w:ascii="宋体" w:hAnsi="宋体" w:eastAsia="宋体" w:cs="宋体"/>
                <w:b/>
                <w:sz w:val="24"/>
                <w:szCs w:val="24"/>
              </w:rPr>
              <w:t>1.审核材料</w:t>
            </w:r>
            <w:r>
              <w:rPr>
                <w:rFonts w:hint="eastAsia" w:ascii="宋体" w:hAnsi="宋体" w:eastAsia="宋体" w:cs="宋体"/>
                <w:sz w:val="24"/>
                <w:szCs w:val="24"/>
              </w:rPr>
              <w:t>：考核方案，综合治理工作方案，日常监督检查记录，实时监控的食堂数量统计明细，校园及周边食品生产经营单位明细。</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市食安办、教育部门、综治办，县市场监管部门、教育部门、综治办，乡街市场监管部门，学校及校园内外食品经营单位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食品协调处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147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73.建立食品安全办、综治办、教育部门、公安机关、城市管理执法部门、食品安全监管部门等共同参加的学校校园及周边食品安全综合治理机制。</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（2）市级相关部门联合制定学校校园及周边食品安全综合治理工作方案并明确各部门职责任务。</w:t>
            </w:r>
            <w:r>
              <w:rPr>
                <w:rFonts w:hint="eastAsia" w:ascii="宋体" w:hAnsi="宋体" w:eastAsia="宋体" w:cs="宋体"/>
                <w:sz w:val="24"/>
                <w:szCs w:val="24"/>
              </w:rPr>
              <w:br w:type="textWrapping"/>
            </w:r>
            <w:r>
              <w:rPr>
                <w:rFonts w:hint="eastAsia" w:ascii="宋体" w:hAnsi="宋体" w:eastAsia="宋体" w:cs="宋体"/>
                <w:sz w:val="24"/>
                <w:szCs w:val="24"/>
              </w:rPr>
              <w:t>（3）各级相关部门每年独立或联合开展至少2次学校校园及周边食品安全专项检查，强化对校园及周边食品生产经营者的日常监督管理职责。</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26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74.实行食品安全校长负责制，将校园食品安全作为学校安全的重要内容，落实校园食品安全管理的主体责任。大力推进学校食堂、幼儿园食堂实时监控工作。</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（2）一定数量的学校、幼儿园食堂推行实时监控且数量逐年提高。</w:t>
            </w:r>
            <w:r>
              <w:rPr>
                <w:rFonts w:hint="eastAsia" w:ascii="宋体" w:hAnsi="宋体" w:eastAsia="宋体" w:cs="宋体"/>
                <w:sz w:val="24"/>
                <w:szCs w:val="24"/>
              </w:rPr>
              <w:br w:type="textWrapping"/>
            </w:r>
            <w:r>
              <w:rPr>
                <w:rFonts w:hint="eastAsia" w:ascii="宋体" w:hAnsi="宋体" w:eastAsia="宋体" w:cs="宋体"/>
                <w:sz w:val="24"/>
                <w:szCs w:val="24"/>
              </w:rPr>
              <w:t>（3）校园及周边食品生产经营单位的主体责任落实到位。</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12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75.鼓励积极开展“学生营养改善行动”。加强对贫困地区学生的营养干预。</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（1）对学生营养改善行动和贫困地区学生营养干预工作做出具体部署安排。</w:t>
            </w:r>
          </w:p>
          <w:p>
            <w:pPr>
              <w:pStyle w:val="5"/>
              <w:keepNext w:val="0"/>
              <w:keepLines w:val="0"/>
              <w:widowControl/>
              <w:suppressLineNumbers w:val="0"/>
              <w:spacing w:line="405" w:lineRule="atLeast"/>
            </w:pPr>
            <w:r>
              <w:rPr>
                <w:rFonts w:hint="eastAsia" w:ascii="宋体" w:hAnsi="宋体" w:eastAsia="宋体" w:cs="宋体"/>
                <w:sz w:val="24"/>
                <w:szCs w:val="24"/>
              </w:rPr>
              <w:t>（2）配合制定并实施集体供餐单位营养操作规范，鼓励集约化配餐企业提供营养配餐服务。</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工作部署文件。</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left"/>
            </w:pPr>
            <w:r>
              <w:rPr>
                <w:rFonts w:hint="eastAsia" w:ascii="宋体" w:hAnsi="宋体" w:eastAsia="宋体" w:cs="宋体"/>
                <w:sz w:val="24"/>
                <w:szCs w:val="24"/>
              </w:rPr>
              <w:t>市县教育、卫健、市场监管、财政部门，集约化配餐企业，学校</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食品餐饮处（配合）</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34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（二十七）本地行业共性隐患问题得到及时解决</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76.风险隐患排查处置制度完善,能够通过明查暗访、投诉举报、检验检测等各种手段，主动排查、定期研判、及时处置本地出现的各类危害食品安全的行业共性隐患问题。</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（2）市食品安全监管部门独立或联合建立食品安全隐患排查处置制度，县区食品安全监管部门制定或转发隐患排查处置制度文件。</w:t>
            </w:r>
            <w:r>
              <w:rPr>
                <w:rFonts w:hint="eastAsia" w:ascii="宋体" w:hAnsi="宋体" w:eastAsia="宋体" w:cs="宋体"/>
                <w:sz w:val="24"/>
                <w:szCs w:val="24"/>
              </w:rPr>
              <w:br w:type="textWrapping"/>
            </w:r>
            <w:r>
              <w:rPr>
                <w:rFonts w:hint="eastAsia" w:ascii="宋体" w:hAnsi="宋体" w:eastAsia="宋体" w:cs="宋体"/>
                <w:sz w:val="24"/>
                <w:szCs w:val="24"/>
              </w:rPr>
              <w:t>（3）市县级市场监管部门对明查暗访、日常监督检查、投诉举报、检验检测等各种手段发现的食品安全问题进行汇总、分析，查找出当地存在的较为突出的、共性的食品安全隐患问题。</w:t>
            </w:r>
            <w:r>
              <w:rPr>
                <w:rFonts w:hint="eastAsia" w:ascii="宋体" w:hAnsi="宋体" w:eastAsia="宋体" w:cs="宋体"/>
                <w:sz w:val="24"/>
                <w:szCs w:val="24"/>
              </w:rPr>
              <w:br w:type="textWrapping"/>
            </w:r>
            <w:r>
              <w:rPr>
                <w:rFonts w:hint="eastAsia" w:ascii="宋体" w:hAnsi="宋体" w:eastAsia="宋体" w:cs="宋体"/>
                <w:sz w:val="24"/>
                <w:szCs w:val="24"/>
              </w:rPr>
              <w:t>（4）市县级市场监管部门对发现的突出共性隐患问题，能够采取措施对重点领域、重点品种组织开展治理整顿。</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隐患排查处置制度文件，对日常监督检查、投诉举报、检验检测发现问题情况的汇总分析材料，治理整治工作方案和总结材料。</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left"/>
            </w:pPr>
            <w:r>
              <w:rPr>
                <w:rFonts w:hint="eastAsia" w:ascii="宋体" w:hAnsi="宋体" w:eastAsia="宋体" w:cs="宋体"/>
                <w:sz w:val="24"/>
                <w:szCs w:val="24"/>
              </w:rPr>
              <w:t>市县市场监管、农业、渔业、畜牧、卫健等部门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食品抽检处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34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77.“十三五”国家食品安全规划中提出的十类危害食品安全的“潜规则”和相关违法行为得到有效治理。</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食安办统筹掌握各部门在各自领域针对超范围超限量使用食品添加剂、使用工业明胶生产食品、使用工业酒精生产酒类食品、使用工业硫黄熏蒸食物、违法使用瘦肉精、食品制作过程违法添加罂粟壳等物质、水产品违法添加孔雀石绿等禁用物质、生产经营企业虚假标注生产日期和保质期、用回收食品作为原料生产食品、保健食品标签宣传欺诈等危害食品安全“潜规则”和相关违法行为进行工作部署并取得成效。</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相关工作部署文件和工作总结、相应工作开展证明材料。</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left"/>
            </w:pPr>
            <w:r>
              <w:rPr>
                <w:rFonts w:hint="eastAsia" w:ascii="宋体" w:hAnsi="宋体" w:eastAsia="宋体" w:cs="宋体"/>
                <w:sz w:val="24"/>
                <w:szCs w:val="24"/>
              </w:rPr>
              <w:t>市县市场监管、农业、渔业、畜牧、卫健部门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食品生产处、广告处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0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（二十八）加大食品、保健食品欺诈和虚假宣传整治力度</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78.进一步强化食品、保健食品生产、经营、进口单位的主体责任，明确并强化第三方平台经营者和相关方以及广告发布单位的法律责任。</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（1）掌握全市保健食品生产经营单位明细和第三方平台经营者名单。</w:t>
            </w:r>
          </w:p>
          <w:p>
            <w:pPr>
              <w:pStyle w:val="5"/>
              <w:keepNext w:val="0"/>
              <w:keepLines w:val="0"/>
              <w:widowControl/>
              <w:suppressLineNumbers w:val="0"/>
              <w:spacing w:line="405" w:lineRule="atLeast"/>
            </w:pPr>
            <w:r>
              <w:rPr>
                <w:rFonts w:hint="eastAsia" w:ascii="宋体" w:hAnsi="宋体" w:eastAsia="宋体" w:cs="宋体"/>
                <w:sz w:val="24"/>
                <w:szCs w:val="24"/>
              </w:rPr>
              <w:t>（2）食品、保健食品生产、经营单位、进口单位主体责任落实到位。</w:t>
            </w:r>
            <w:r>
              <w:rPr>
                <w:rFonts w:hint="eastAsia" w:ascii="宋体" w:hAnsi="宋体" w:eastAsia="宋体" w:cs="宋体"/>
                <w:sz w:val="24"/>
                <w:szCs w:val="24"/>
              </w:rPr>
              <w:br w:type="textWrapping"/>
            </w:r>
            <w:r>
              <w:rPr>
                <w:rFonts w:hint="eastAsia" w:ascii="宋体" w:hAnsi="宋体" w:eastAsia="宋体" w:cs="宋体"/>
                <w:sz w:val="24"/>
                <w:szCs w:val="24"/>
              </w:rPr>
              <w:t>（3）第三方平台经营者的法律责任明确并落实到位。</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食品生产经营单位，第三方平台经营者、广告发布单位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食品生产处、流通处、网络交易监管处、广告处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5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79.监管部门要按照区域为主、层级为辅的原则，加强监督检查，切实落实属地管理职责。</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（2）市场监管、广电、网信办等部门在食品、保健食品欺诈和虚假宣传整治工作中的职责分工明确，职责落实到位。</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明确工作职责分工的证实材料和工作开展情况总结。</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市市场监管、广电、网信等部门，区县市场监管部门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广告处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14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（二十九）加大城乡结合部和农村地区食品安全治理力度</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80.深入开展农村食品安全治理，努力形成全方位、全环节、全覆盖的农村食品安全治理长效机制。</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明确食品安全监管部门在农村食品安全治理中的工作职责。</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明确工作职责分工的证实材料和工作开展情况总结，底数名单。</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市市场监管、农业、渔业、畜牧等部门，食品生产经营单位，食用农产品种植养殖单位，屠宰单位等</w:t>
            </w:r>
          </w:p>
        </w:tc>
        <w:tc>
          <w:tcPr>
            <w:tcW w:w="1275"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食品流通处</w:t>
            </w:r>
          </w:p>
        </w:tc>
        <w:tc>
          <w:tcPr>
            <w:tcW w:w="1424" w:type="dxa"/>
            <w:vMerge w:val="restart"/>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食品生产处、食品餐饮处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86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81.全面实现农村食品安全突出问题和风险隐患治理工作目标，净化农村食品生产经营环境，切实提高农村食品安全保障水平。</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（2）农村地区食品生产经营者主体责任落实到位。</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rPr>
                <w:rFonts w:hint="eastAsia" w:ascii="宋体"/>
                <w:sz w:val="24"/>
                <w:szCs w:val="24"/>
              </w:rPr>
            </w:pPr>
          </w:p>
        </w:tc>
        <w:tc>
          <w:tcPr>
            <w:tcW w:w="1424" w:type="dxa"/>
            <w:vMerge w:val="continue"/>
            <w:tcBorders>
              <w:top w:val="nil"/>
              <w:left w:val="nil"/>
              <w:bottom w:val="single" w:color="auto" w:sz="6" w:space="0"/>
              <w:right w:val="single" w:color="auto" w:sz="6" w:space="0"/>
            </w:tcBorders>
            <w:shd w:val="clear" w:color="auto" w:fill="auto"/>
            <w:tcMar>
              <w:left w:w="105" w:type="dxa"/>
              <w:right w:w="105" w:type="dxa"/>
            </w:tcMar>
            <w:vAlign w:val="top"/>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830"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（三十）食品生产加工小作坊和食品摊贩管理规范</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82.食品生产加工小作坊、食品摊贩监管地方性法规明确，监管职责清晰，全面纳入监管范围。</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（1）市政府批准实施本市食品生产加工小作坊禁止生产加工的食品目录并公布目录。</w:t>
            </w:r>
          </w:p>
          <w:p>
            <w:pPr>
              <w:pStyle w:val="5"/>
              <w:keepNext w:val="0"/>
              <w:keepLines w:val="0"/>
              <w:widowControl/>
              <w:suppressLineNumbers w:val="0"/>
              <w:spacing w:line="360" w:lineRule="atLeast"/>
            </w:pPr>
            <w:r>
              <w:rPr>
                <w:rFonts w:hint="eastAsia" w:ascii="宋体" w:hAnsi="宋体" w:eastAsia="宋体" w:cs="宋体"/>
                <w:sz w:val="24"/>
                <w:szCs w:val="24"/>
              </w:rPr>
              <w:t>（2）市政府批准实施本市食品摊贩禁止经营目录并公布目录。</w:t>
            </w:r>
            <w:r>
              <w:rPr>
                <w:rFonts w:hint="eastAsia" w:ascii="宋体" w:hAnsi="宋体" w:eastAsia="宋体" w:cs="宋体"/>
                <w:sz w:val="24"/>
                <w:szCs w:val="24"/>
              </w:rPr>
              <w:br w:type="textWrapping"/>
            </w:r>
            <w:r>
              <w:rPr>
                <w:rFonts w:hint="eastAsia" w:ascii="宋体" w:hAnsi="宋体" w:eastAsia="宋体" w:cs="宋体"/>
                <w:sz w:val="24"/>
                <w:szCs w:val="24"/>
              </w:rPr>
              <w:t>（3）市政府或有关部门进一步明确划分食品生产加工小作坊、食品摊贩监管职责。</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市政府批准实施的禁止生产加工经营目录，公布禁止生产加工经营目录的网站等平台，明确小作坊、食品摊贩监管职责的文件，小作坊、食品摊贩管理规范文件，食品生产加工小作坊和食品摊贩清单。</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left"/>
            </w:pPr>
            <w:r>
              <w:rPr>
                <w:rFonts w:hint="eastAsia" w:ascii="宋体" w:hAnsi="宋体" w:eastAsia="宋体" w:cs="宋体"/>
                <w:sz w:val="24"/>
                <w:szCs w:val="24"/>
              </w:rPr>
              <w:t>市政府、市场监管部门，乡镇政府街道办事处，食品生产加工小作坊、食品摊贩</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14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83.对各类食品生产加工小作坊和食品摊贩等制定出台卫生规范，明确技术要求。</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（2）市政府或食药部门出台食品生产加工小作坊和食品摊贩管理规范并有效落实。</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7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84.加强政府服务，支持食品生产加工小作坊、食品摊贩等生产经营条件不断改善，引导其进入固定集中区域、规范管理。</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（2）市或全部县级政府出台政策鼓励支持小作坊改善生产条件、引导进入固定集中区域、规范管理。</w:t>
            </w:r>
            <w:r>
              <w:rPr>
                <w:rFonts w:hint="eastAsia" w:ascii="宋体" w:hAnsi="宋体" w:eastAsia="宋体" w:cs="宋体"/>
                <w:sz w:val="24"/>
                <w:szCs w:val="24"/>
              </w:rPr>
              <w:br w:type="textWrapping"/>
            </w:r>
            <w:r>
              <w:rPr>
                <w:rFonts w:hint="eastAsia" w:ascii="宋体" w:hAnsi="宋体" w:eastAsia="宋体" w:cs="宋体"/>
                <w:sz w:val="24"/>
                <w:szCs w:val="24"/>
              </w:rPr>
              <w:t>（3）通过政策引导，部分小作坊集中生产。</w:t>
            </w:r>
            <w:r>
              <w:rPr>
                <w:rFonts w:hint="eastAsia" w:ascii="宋体" w:hAnsi="宋体" w:eastAsia="宋体" w:cs="宋体"/>
                <w:sz w:val="24"/>
                <w:szCs w:val="24"/>
              </w:rPr>
              <w:br w:type="textWrapping"/>
            </w:r>
            <w:r>
              <w:rPr>
                <w:rFonts w:hint="eastAsia" w:ascii="宋体" w:hAnsi="宋体" w:eastAsia="宋体" w:cs="宋体"/>
                <w:sz w:val="24"/>
                <w:szCs w:val="24"/>
              </w:rPr>
              <w:t>（4）全部县级政府均划定区域、确定经营时段供食品摊贩从事食品经营活动，并全部向社会公布。</w:t>
            </w:r>
            <w:r>
              <w:rPr>
                <w:rFonts w:hint="eastAsia" w:ascii="宋体" w:hAnsi="宋体" w:eastAsia="宋体" w:cs="宋体"/>
                <w:sz w:val="24"/>
                <w:szCs w:val="24"/>
              </w:rPr>
              <w:br w:type="textWrapping"/>
            </w:r>
            <w:r>
              <w:rPr>
                <w:rFonts w:hint="eastAsia" w:ascii="宋体" w:hAnsi="宋体" w:eastAsia="宋体" w:cs="宋体"/>
                <w:sz w:val="24"/>
                <w:szCs w:val="24"/>
              </w:rPr>
              <w:t>（5）通过政策引导，食品摊贩实现退路进厅或在指定的临时经营区域、时段经营。</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相关政策文件，小作坊集中生产名单，食品摊贩划定区域时段经营的文件及向社会公布的证实材料。</w:t>
            </w:r>
          </w:p>
          <w:p>
            <w:pPr>
              <w:pStyle w:val="5"/>
              <w:keepNext w:val="0"/>
              <w:keepLines w:val="0"/>
              <w:widowControl/>
              <w:suppressLineNumbers w:val="0"/>
              <w:spacing w:line="360"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jc w:val="center"/>
            </w:pPr>
            <w:r>
              <w:rPr>
                <w:rFonts w:hint="eastAsia" w:ascii="宋体" w:hAnsi="宋体" w:eastAsia="宋体" w:cs="宋体"/>
                <w:sz w:val="24"/>
                <w:szCs w:val="24"/>
              </w:rPr>
              <w:t>市县</w:t>
            </w:r>
          </w:p>
          <w:p>
            <w:pPr>
              <w:pStyle w:val="5"/>
              <w:keepNext w:val="0"/>
              <w:keepLines w:val="0"/>
              <w:widowControl/>
              <w:suppressLineNumbers w:val="0"/>
              <w:spacing w:line="360" w:lineRule="atLeast"/>
              <w:jc w:val="center"/>
            </w:pPr>
            <w:r>
              <w:rPr>
                <w:rFonts w:hint="eastAsia" w:ascii="宋体" w:hAnsi="宋体" w:eastAsia="宋体" w:cs="宋体"/>
                <w:sz w:val="24"/>
                <w:szCs w:val="24"/>
              </w:rPr>
              <w:t>政府</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360" w:lineRule="atLeast"/>
            </w:pPr>
            <w:r>
              <w:rPr>
                <w:rFonts w:hint="eastAsia" w:ascii="宋体" w:hAnsi="宋体" w:eastAsia="宋体" w:cs="宋体"/>
                <w:sz w:val="24"/>
                <w:szCs w:val="24"/>
              </w:rPr>
              <w:t>食品生产处、食品流通处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59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（三十一）食品相关产品监管严格</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85.加强食品相关产品的监督检查、风险监测和抽样检验，规范食品相关产品生产、经营、使用行为及标识标注，进一步加大对食品相关产品的执法打假力度。</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（2）对食品相关产品的监督检查、风险监测、抽样检验、执法打假年度工作部署实施。</w:t>
            </w:r>
            <w:r>
              <w:rPr>
                <w:rFonts w:hint="eastAsia" w:ascii="宋体" w:hAnsi="宋体" w:eastAsia="宋体" w:cs="宋体"/>
                <w:sz w:val="24"/>
                <w:szCs w:val="24"/>
              </w:rPr>
              <w:br w:type="textWrapping"/>
            </w:r>
            <w:r>
              <w:rPr>
                <w:rFonts w:hint="eastAsia" w:ascii="宋体" w:hAnsi="宋体" w:eastAsia="宋体" w:cs="宋体"/>
                <w:sz w:val="24"/>
                <w:szCs w:val="24"/>
              </w:rPr>
              <w:t>（3）对食品相关产品的生产经营、使用行为及标识标注做出明确规定并有效落实。</w:t>
            </w:r>
          </w:p>
          <w:p>
            <w:pPr>
              <w:pStyle w:val="5"/>
              <w:keepNext w:val="0"/>
              <w:keepLines w:val="0"/>
              <w:widowControl/>
              <w:suppressLineNumbers w:val="0"/>
              <w:spacing w:line="375" w:lineRule="atLeast"/>
            </w:pPr>
            <w:r>
              <w:rPr>
                <w:rFonts w:hint="eastAsia" w:ascii="宋体" w:hAnsi="宋体" w:eastAsia="宋体" w:cs="宋体"/>
                <w:sz w:val="24"/>
                <w:szCs w:val="24"/>
              </w:rPr>
              <w:t>（4）食品相关产品经营使用单位应落实相关主体责任。</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相关工作部署安排方案文件和具体实施的总结报告等相关证实材料，对经营使用标识标注行为提出规范要求的证实材料。</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市县/乡市场监管等部门，食品相关产品生产、经营、使用单位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产品质量安全监管处、食品流通处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食品生产处、食品餐饮处、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2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86.在大型食品相关产品生产企业全面推行危害分析与关键控制点（HACCP）体系。</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大型食品相关产品生产企业积极推行HACCP体系。</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产品质量安全监管处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70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（三十二）应急处置及时高效</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87.食品安全应急处置体系健全，应急预案科学实用。</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（1）掌握全市总体情况和各个县区基层的具体情况（应急预案）。</w:t>
            </w:r>
          </w:p>
          <w:p>
            <w:pPr>
              <w:pStyle w:val="5"/>
              <w:keepNext w:val="0"/>
              <w:keepLines w:val="0"/>
              <w:widowControl/>
              <w:suppressLineNumbers w:val="0"/>
              <w:spacing w:line="375" w:lineRule="atLeast"/>
            </w:pPr>
            <w:r>
              <w:rPr>
                <w:rFonts w:hint="eastAsia" w:ascii="宋体" w:hAnsi="宋体" w:eastAsia="宋体" w:cs="宋体"/>
                <w:sz w:val="24"/>
                <w:szCs w:val="24"/>
              </w:rPr>
              <w:t>（2）市、县政府全部出台食品安全事故应急预案。</w:t>
            </w:r>
          </w:p>
          <w:p>
            <w:pPr>
              <w:pStyle w:val="5"/>
              <w:keepNext w:val="0"/>
              <w:keepLines w:val="0"/>
              <w:widowControl/>
              <w:suppressLineNumbers w:val="0"/>
              <w:spacing w:line="375" w:lineRule="atLeast"/>
            </w:pPr>
            <w:r>
              <w:rPr>
                <w:rFonts w:hint="eastAsia" w:ascii="宋体" w:hAnsi="宋体" w:eastAsia="宋体" w:cs="宋体"/>
                <w:sz w:val="24"/>
                <w:szCs w:val="24"/>
              </w:rPr>
              <w:t>（3）市、县市场监管部门全部制定食品安全事故应急预案。</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食品安全事故应急预案，应急演练方案、评估报告等证实材料，各类突发事件清单。</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市县政府及市场监管、卫健、农业、渔业、畜牧部门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应急预警处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08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88.市、县定期开展应急演练，并对演练过程和效果进行评估。</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（2）市、县全部每2年组织1次食品安全事故应急演练并对过程和效果进行评估。</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应急预警处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89.各类突发事件得到妥善处置。</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（1）掌握全市各类突发事件本底情况。</w:t>
            </w:r>
          </w:p>
          <w:p>
            <w:pPr>
              <w:pStyle w:val="5"/>
              <w:keepNext w:val="0"/>
              <w:keepLines w:val="0"/>
              <w:widowControl/>
              <w:suppressLineNumbers w:val="0"/>
              <w:spacing w:line="375" w:lineRule="atLeast"/>
            </w:pPr>
            <w:r>
              <w:rPr>
                <w:rFonts w:hint="eastAsia" w:ascii="宋体" w:hAnsi="宋体" w:eastAsia="宋体" w:cs="宋体"/>
                <w:sz w:val="24"/>
                <w:szCs w:val="24"/>
              </w:rPr>
              <w:t>（2）无瞒报、谎报、缓报突发事件，突发事件处置妥善。</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应急预警处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4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90.食品生产经营企业制定食品安全事故处置方案，定期检查本企业各项食品安全防范措施的落实情况，及时消除事故隐患。</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（1）掌握全市食品生产经营单位明细。</w:t>
            </w:r>
          </w:p>
          <w:p>
            <w:pPr>
              <w:pStyle w:val="5"/>
              <w:keepNext w:val="0"/>
              <w:keepLines w:val="0"/>
              <w:widowControl/>
              <w:suppressLineNumbers w:val="0"/>
              <w:spacing w:line="375" w:lineRule="atLeast"/>
            </w:pPr>
            <w:r>
              <w:rPr>
                <w:rFonts w:hint="eastAsia" w:ascii="宋体" w:hAnsi="宋体" w:eastAsia="宋体" w:cs="宋体"/>
                <w:sz w:val="24"/>
                <w:szCs w:val="24"/>
              </w:rPr>
              <w:t>（2）食品生产经营企业制定食品安全事故处置方案且具有可操作性，定期检查本企业各项食品安全防范措施落实情况。</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41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91.建立健全舆情监测、研判、预警、报告、回应、评估与总结等工作机制和制度。</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（2）市县市场监管部门全部制定舆情应急预案（或工作规程），包括舆情监测、研判、预警、报告、回应、评估与总结等工作机制。</w:t>
            </w:r>
          </w:p>
          <w:p>
            <w:pPr>
              <w:pStyle w:val="5"/>
              <w:keepNext w:val="0"/>
              <w:keepLines w:val="0"/>
              <w:widowControl/>
              <w:suppressLineNumbers w:val="0"/>
              <w:spacing w:line="360" w:lineRule="atLeast"/>
            </w:pPr>
            <w:r>
              <w:rPr>
                <w:rFonts w:hint="eastAsia" w:ascii="宋体" w:hAnsi="宋体" w:eastAsia="宋体" w:cs="宋体"/>
                <w:sz w:val="24"/>
                <w:szCs w:val="24"/>
              </w:rPr>
              <w:t>（3）市市场监管部门明确舆情监测责任处室，有专人负责，开展舆情监测应对工作（可委托技术机构）（包括实施监测、对舆情监测信息调查处置回应等）。</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舆情应急预案或工作规程。</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市市场监管、农业、渔业、畜牧等部门，县级市场监管部门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585"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92.各相关部门共同做好野生蘑菇中毒防控工作。</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（2）市县级市场监管部门通过官方网站、微博、微信公众号、宣传手册、媒体等渠道在6-10月份发布野生蘑菇食品安全提示。</w:t>
            </w:r>
          </w:p>
          <w:p>
            <w:pPr>
              <w:pStyle w:val="5"/>
              <w:keepNext w:val="0"/>
              <w:keepLines w:val="0"/>
              <w:widowControl/>
              <w:suppressLineNumbers w:val="0"/>
              <w:spacing w:line="360" w:lineRule="atLeast"/>
            </w:pPr>
            <w:r>
              <w:rPr>
                <w:rFonts w:hint="eastAsia" w:ascii="宋体" w:hAnsi="宋体" w:eastAsia="宋体" w:cs="宋体"/>
                <w:sz w:val="24"/>
                <w:szCs w:val="24"/>
              </w:rPr>
              <w:t>（3）近两年食品生产经营单位未发生野生蘑菇中毒事件。</w:t>
            </w:r>
          </w:p>
        </w:tc>
        <w:tc>
          <w:tcPr>
            <w:tcW w:w="49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宣传资料，食品安全事故统计数据，调查报告，网络报道等证实材料。</w:t>
            </w:r>
          </w:p>
        </w:tc>
        <w:tc>
          <w:tcPr>
            <w:tcW w:w="16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市县市场监管、卫健部门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525" w:hRule="atLeast"/>
        </w:trPr>
        <w:tc>
          <w:tcPr>
            <w:tcW w:w="109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（三十三）食品安全信息全面公开</w:t>
            </w:r>
          </w:p>
        </w:tc>
        <w:tc>
          <w:tcPr>
            <w:tcW w:w="7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93.食品安全监管部门建立并实施食品安全信息公开制度。</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市市场监管部门按照法定权限建立食品安全信息公开制度。</w:t>
            </w:r>
          </w:p>
        </w:tc>
        <w:tc>
          <w:tcPr>
            <w:tcW w:w="49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食品安全信息公开制度，食品相关产品信息公开制度，信息发布平台（可以是本级或上级部门官方网站、同级政府官方网站，也可以是公众可获取的其他信息公开渠道），食品药品监管信息统计系统。</w:t>
            </w:r>
          </w:p>
        </w:tc>
        <w:tc>
          <w:tcPr>
            <w:tcW w:w="16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市、县市场监管、农业、渔业、畜牧、卫健、行政审批等部门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590" w:hRule="atLeast"/>
        </w:trPr>
        <w:tc>
          <w:tcPr>
            <w:tcW w:w="109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94.市、县级食品安全监管部门及时、全面、准确发布行政许可、现场检查、抽样检验、监管执法、行政处罚等信息，做到标准公开、程序公开、结果公开。</w:t>
            </w:r>
          </w:p>
        </w:tc>
        <w:tc>
          <w:tcPr>
            <w:tcW w:w="65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60"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60" w:lineRule="atLeast"/>
            </w:pPr>
            <w:r>
              <w:rPr>
                <w:rFonts w:hint="eastAsia" w:ascii="宋体" w:hAnsi="宋体" w:eastAsia="宋体" w:cs="宋体"/>
                <w:sz w:val="24"/>
                <w:szCs w:val="24"/>
              </w:rPr>
              <w:t>（2）市县级市场监管部门按照法定权限和程序发布行政审批、监督抽检、不合格产品核查处置、监督检查、行政处罚等信息。</w:t>
            </w:r>
          </w:p>
          <w:p>
            <w:pPr>
              <w:pStyle w:val="5"/>
              <w:keepNext w:val="0"/>
              <w:keepLines w:val="0"/>
              <w:widowControl/>
              <w:suppressLineNumbers w:val="0"/>
              <w:spacing w:line="360" w:lineRule="atLeast"/>
            </w:pPr>
            <w:r>
              <w:rPr>
                <w:rFonts w:hint="eastAsia" w:ascii="宋体" w:hAnsi="宋体" w:eastAsia="宋体" w:cs="宋体"/>
                <w:sz w:val="24"/>
                <w:szCs w:val="24"/>
              </w:rPr>
              <w:t>（3）市县级市场监管部门及时、准确填报食品药品监管信息统计系统。</w:t>
            </w:r>
          </w:p>
        </w:tc>
        <w:tc>
          <w:tcPr>
            <w:tcW w:w="49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6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r>
              <w:rPr>
                <w:rStyle w:val="7"/>
                <w:rFonts w:hint="eastAsia" w:ascii="宋体" w:hAnsi="宋体" w:eastAsia="宋体" w:cs="宋体"/>
                <w:b/>
                <w:sz w:val="24"/>
                <w:szCs w:val="24"/>
              </w:rPr>
              <w:t>行政审批处</w:t>
            </w:r>
          </w:p>
        </w:tc>
        <w:tc>
          <w:tcPr>
            <w:tcW w:w="1424"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食品生产处、食品流通处、食品餐饮处</w:t>
            </w:r>
          </w:p>
        </w:tc>
      </w:tr>
    </w:tbl>
    <w:p>
      <w:pPr>
        <w:pStyle w:val="5"/>
        <w:keepNext w:val="0"/>
        <w:keepLines w:val="0"/>
        <w:widowControl/>
        <w:suppressLineNumbers w:val="0"/>
      </w:pPr>
      <w:r>
        <w:rPr>
          <w:rFonts w:hint="eastAsia" w:ascii="黑体" w:hAnsi="宋体" w:eastAsia="黑体" w:cs="黑体"/>
          <w:sz w:val="31"/>
          <w:szCs w:val="31"/>
        </w:rPr>
        <w:t>五、严厉打击违法犯罪行为</w:t>
      </w:r>
    </w:p>
    <w:tbl>
      <w:tblPr>
        <w:tblStyle w:val="8"/>
        <w:tblW w:w="2223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75"/>
        <w:gridCol w:w="795"/>
        <w:gridCol w:w="4860"/>
        <w:gridCol w:w="8085"/>
        <w:gridCol w:w="3405"/>
        <w:gridCol w:w="1560"/>
        <w:gridCol w:w="1275"/>
        <w:gridCol w:w="12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30" w:hRule="atLeast"/>
        </w:trPr>
        <w:tc>
          <w:tcPr>
            <w:tcW w:w="663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808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30"/>
              <w:jc w:val="center"/>
            </w:pPr>
            <w:r>
              <w:rPr>
                <w:rStyle w:val="7"/>
                <w:rFonts w:hint="eastAsia" w:ascii="宋体" w:hAnsi="宋体" w:eastAsia="宋体" w:cs="宋体"/>
                <w:b/>
                <w:sz w:val="24"/>
                <w:szCs w:val="24"/>
              </w:rPr>
              <w:t>工作任务</w:t>
            </w:r>
          </w:p>
        </w:tc>
        <w:tc>
          <w:tcPr>
            <w:tcW w:w="340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156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27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27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48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808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340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56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3690" w:hRule="atLeast"/>
        </w:trPr>
        <w:tc>
          <w:tcPr>
            <w:tcW w:w="9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（三十四）案件查办工作及时彻底</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关键项</w:t>
            </w:r>
          </w:p>
        </w:tc>
        <w:tc>
          <w:tcPr>
            <w:tcW w:w="48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95.明确案件查办事权，完善案件查办制度，严格规范案件查办行为。对本地发现或外地通报的违法线索，及时、全面开展调查，依法作出行政处罚，严格执行“处罚到人”的规定，强化案件查办信息公开。涉嫌犯罪的按照有关规定及时移交公安机关，不得“以罚代刑”。</w:t>
            </w:r>
          </w:p>
        </w:tc>
        <w:tc>
          <w:tcPr>
            <w:tcW w:w="8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（2）市级市场监管部门明确划分各类案件查办事权、完善案件查办制度。</w:t>
            </w:r>
            <w:r>
              <w:rPr>
                <w:rFonts w:hint="eastAsia" w:ascii="宋体" w:hAnsi="宋体" w:eastAsia="宋体" w:cs="宋体"/>
                <w:sz w:val="24"/>
                <w:szCs w:val="24"/>
              </w:rPr>
              <w:br w:type="textWrapping"/>
            </w:r>
            <w:r>
              <w:rPr>
                <w:rFonts w:hint="eastAsia" w:ascii="宋体" w:hAnsi="宋体" w:eastAsia="宋体" w:cs="宋体"/>
                <w:sz w:val="24"/>
                <w:szCs w:val="24"/>
              </w:rPr>
              <w:t>（3）市县级市场监管部门严格规范案件查办行为。其他部门或地区通报的违法案件线索按照要求回复调查结果；行政处罚决定符合法律法规，追溯涉案地、召回、案件及线索移送等符合要求；符合“处罚到人”的行政案件应做出相应处罚；符合公开条件案件的信息公开应符合《食品药品行政处罚案件信息公开实施细则》等有关要求；涉嫌犯罪的按照规定移交公安机关且有公安机关立案文件。</w:t>
            </w:r>
          </w:p>
          <w:p>
            <w:pPr>
              <w:pStyle w:val="5"/>
              <w:keepNext w:val="0"/>
              <w:keepLines w:val="0"/>
              <w:widowControl/>
              <w:suppressLineNumbers w:val="0"/>
              <w:spacing w:line="405" w:lineRule="atLeast"/>
            </w:pPr>
            <w:r>
              <w:rPr>
                <w:rFonts w:hint="eastAsia" w:ascii="宋体" w:hAnsi="宋体" w:eastAsia="宋体" w:cs="宋体"/>
                <w:sz w:val="24"/>
                <w:szCs w:val="24"/>
              </w:rPr>
              <w:t>（4）市县级市场监管部门查办的案件中，符合重大案件或较大案件标准，应及时报送重大在办案件模板或录入办结较大案件系统。</w:t>
            </w:r>
          </w:p>
        </w:tc>
        <w:tc>
          <w:tcPr>
            <w:tcW w:w="3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明确案件查办事权和案件查办制度的文件或相关证实材料，案卷，移送材料，重大在办案件模板或较大案件系统。</w:t>
            </w:r>
          </w:p>
        </w:tc>
        <w:tc>
          <w:tcPr>
            <w:tcW w:w="15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市县市场监管、农业、渔业、畜牧、卫健、公安部门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35" w:hRule="atLeast"/>
        </w:trPr>
        <w:tc>
          <w:tcPr>
            <w:tcW w:w="97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（三十五）行政执法与刑事司法有效衔接</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48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96.完善政法委牵头、政法机关和食品安全监管部门共同参与的协调机制。</w:t>
            </w:r>
          </w:p>
        </w:tc>
        <w:tc>
          <w:tcPr>
            <w:tcW w:w="8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市委政法委建立健全政法机关与食药、农业、渔业、畜牧等食品安全监管部门共同参与的协调机制。</w:t>
            </w:r>
          </w:p>
        </w:tc>
        <w:tc>
          <w:tcPr>
            <w:tcW w:w="340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政法机关与食品安全监管部门之间建立健全协调机制的文件或合作备忘等证实材料，案件明细，案卷，案件信息通报证实材料。</w:t>
            </w:r>
          </w:p>
        </w:tc>
        <w:tc>
          <w:tcPr>
            <w:tcW w:w="156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市委政法委、公安、法院、检察院、农业、渔业、畜牧、市场监管等食品安全监管部门，县级市场监管、农业、渔业、畜牧、公安部门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pPr>
            <w:r>
              <w:rPr>
                <w:rFonts w:hint="eastAsia" w:ascii="宋体" w:hAnsi="宋体" w:eastAsia="宋体" w:cs="宋体"/>
                <w:sz w:val="24"/>
                <w:szCs w:val="24"/>
              </w:rPr>
              <w:t>市场监管中心（配合）</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070" w:hRule="atLeast"/>
        </w:trPr>
        <w:tc>
          <w:tcPr>
            <w:tcW w:w="97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97.贯彻落实《食品药品行政执法与刑事司法衔接工作办法》，有效建立地区间、部门间食品安全违法案件查办联动机制，做好涉案物品检验与认定、办案协作配合、信息共享、涉案物品处置等工作。</w:t>
            </w:r>
          </w:p>
        </w:tc>
        <w:tc>
          <w:tcPr>
            <w:tcW w:w="8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wordWrap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wordWrap w:val="0"/>
              <w:spacing w:line="405" w:lineRule="atLeast"/>
            </w:pPr>
            <w:r>
              <w:rPr>
                <w:rFonts w:hint="eastAsia" w:ascii="宋体" w:hAnsi="宋体" w:eastAsia="宋体" w:cs="宋体"/>
                <w:sz w:val="24"/>
                <w:szCs w:val="24"/>
              </w:rPr>
              <w:t>（2）市县级市场监管部门定期向同级公安部门通报违法案件行政处罚信息，向同级公安部门通报食品检验检测机构名单、检验检测资质和项目情况，对公安部门通报的已查明流向的涉案产品及时依法采取控制措施、有效解决涉案产品处置。</w:t>
            </w:r>
          </w:p>
        </w:tc>
        <w:tc>
          <w:tcPr>
            <w:tcW w:w="340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56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pPr>
            <w:r>
              <w:rPr>
                <w:rFonts w:hint="eastAsia" w:ascii="宋体" w:hAnsi="宋体" w:eastAsia="宋体" w:cs="宋体"/>
                <w:sz w:val="24"/>
                <w:szCs w:val="24"/>
              </w:rPr>
              <w:t>市场监管中心</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35" w:hRule="atLeast"/>
        </w:trPr>
        <w:tc>
          <w:tcPr>
            <w:tcW w:w="97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8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98.及时将达到行政拘留等治安管理处罚标准或者涉嫌犯罪的案件移送公安机关处理。对司法机关追究刑事责任的案件，各级监管部门要及时依法作出相应的行政处罚。</w:t>
            </w:r>
          </w:p>
        </w:tc>
        <w:tc>
          <w:tcPr>
            <w:tcW w:w="80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（1）掌握全市总体情况和各个县区基层的具体情况（近两年全市食品安全违法犯罪案件明细）。</w:t>
            </w:r>
          </w:p>
          <w:p>
            <w:pPr>
              <w:pStyle w:val="5"/>
              <w:keepNext w:val="0"/>
              <w:keepLines w:val="0"/>
              <w:widowControl/>
              <w:suppressLineNumbers w:val="0"/>
              <w:spacing w:line="405" w:lineRule="atLeast"/>
            </w:pPr>
            <w:r>
              <w:rPr>
                <w:rFonts w:hint="eastAsia" w:ascii="宋体" w:hAnsi="宋体" w:eastAsia="宋体" w:cs="宋体"/>
                <w:sz w:val="24"/>
                <w:szCs w:val="24"/>
              </w:rPr>
              <w:t>（2）市县级市场监管部门及时将达到行政拘留等治安管理处罚标准或者涉嫌犯罪的案件移送公安机关处理。</w:t>
            </w:r>
          </w:p>
          <w:p>
            <w:pPr>
              <w:pStyle w:val="5"/>
              <w:keepNext w:val="0"/>
              <w:keepLines w:val="0"/>
              <w:widowControl/>
              <w:suppressLineNumbers w:val="0"/>
              <w:spacing w:line="405" w:lineRule="atLeast"/>
            </w:pPr>
            <w:r>
              <w:rPr>
                <w:rFonts w:hint="eastAsia" w:ascii="宋体" w:hAnsi="宋体" w:eastAsia="宋体" w:cs="宋体"/>
                <w:sz w:val="24"/>
                <w:szCs w:val="24"/>
              </w:rPr>
              <w:t>（3）市县级市场监管部门对司法机关追究刑事责任的案件能够及时依法作出相应的行政处罚。</w:t>
            </w:r>
          </w:p>
        </w:tc>
        <w:tc>
          <w:tcPr>
            <w:tcW w:w="340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56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pPr>
            <w:r>
              <w:rPr>
                <w:rFonts w:hint="eastAsia" w:ascii="宋体" w:hAnsi="宋体" w:eastAsia="宋体" w:cs="宋体"/>
                <w:sz w:val="24"/>
                <w:szCs w:val="24"/>
              </w:rPr>
              <w:t>市场监管中心</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bl>
    <w:p>
      <w:pPr>
        <w:pStyle w:val="5"/>
        <w:keepNext w:val="0"/>
        <w:keepLines w:val="0"/>
        <w:widowControl/>
        <w:suppressLineNumbers w:val="0"/>
      </w:pPr>
      <w:r>
        <w:rPr>
          <w:rFonts w:hint="eastAsia" w:ascii="黑体" w:hAnsi="宋体" w:eastAsia="黑体" w:cs="黑体"/>
          <w:sz w:val="24"/>
          <w:szCs w:val="24"/>
        </w:rPr>
        <w:t>  </w:t>
      </w:r>
    </w:p>
    <w:p>
      <w:pPr>
        <w:pStyle w:val="5"/>
        <w:keepNext w:val="0"/>
        <w:keepLines w:val="0"/>
        <w:widowControl/>
        <w:suppressLineNumbers w:val="0"/>
      </w:pPr>
      <w:r>
        <w:rPr>
          <w:rFonts w:hint="eastAsia" w:ascii="黑体" w:hAnsi="宋体" w:eastAsia="黑体" w:cs="黑体"/>
          <w:sz w:val="31"/>
          <w:szCs w:val="31"/>
        </w:rPr>
        <w:t>六、企业主体责任全面落实</w:t>
      </w:r>
    </w:p>
    <w:tbl>
      <w:tblPr>
        <w:tblStyle w:val="8"/>
        <w:tblW w:w="2231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74"/>
        <w:gridCol w:w="794"/>
        <w:gridCol w:w="5272"/>
        <w:gridCol w:w="7921"/>
        <w:gridCol w:w="2546"/>
        <w:gridCol w:w="1977"/>
        <w:gridCol w:w="1408"/>
        <w:gridCol w:w="14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7040"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7921"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2546"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1977"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408"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423"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7921"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46"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77"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08"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3"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171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（三十六）落实食品安全自查制度</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关键项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100.食品生产经营者应当建立食品安全自查制度，定期对食品安全状况进行检查评价。有发生食品安全事故潜在风险的，应当立即停止食品生产经营活动，并向所在地县级相关监督管理部门报告。</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（1）掌握全市食品生产经营单位明细。</w:t>
            </w:r>
          </w:p>
          <w:p>
            <w:pPr>
              <w:pStyle w:val="5"/>
              <w:keepNext w:val="0"/>
              <w:keepLines w:val="0"/>
              <w:widowControl/>
              <w:suppressLineNumbers w:val="0"/>
              <w:spacing w:line="405" w:lineRule="atLeast"/>
            </w:pPr>
            <w:r>
              <w:rPr>
                <w:rFonts w:hint="eastAsia" w:ascii="宋体" w:hAnsi="宋体" w:eastAsia="宋体" w:cs="宋体"/>
                <w:sz w:val="24"/>
                <w:szCs w:val="24"/>
              </w:rPr>
              <w:t>（2）食品生产经营者建立食品安全自查制度（具有可操作性）。</w:t>
            </w:r>
          </w:p>
          <w:p>
            <w:pPr>
              <w:pStyle w:val="5"/>
              <w:keepNext w:val="0"/>
              <w:keepLines w:val="0"/>
              <w:widowControl/>
              <w:suppressLineNumbers w:val="0"/>
              <w:spacing w:line="405" w:lineRule="atLeast"/>
            </w:pPr>
            <w:r>
              <w:rPr>
                <w:rFonts w:hint="eastAsia" w:ascii="宋体" w:hAnsi="宋体" w:eastAsia="宋体" w:cs="宋体"/>
                <w:sz w:val="24"/>
                <w:szCs w:val="24"/>
              </w:rPr>
              <w:t>（3）食品生产经营者按自查制度要求定期开展自查。</w:t>
            </w:r>
          </w:p>
          <w:p>
            <w:pPr>
              <w:pStyle w:val="5"/>
              <w:keepNext w:val="0"/>
              <w:keepLines w:val="0"/>
              <w:widowControl/>
              <w:suppressLineNumbers w:val="0"/>
              <w:spacing w:line="405" w:lineRule="atLeast"/>
            </w:pPr>
            <w:r>
              <w:rPr>
                <w:rFonts w:hint="eastAsia" w:ascii="宋体" w:hAnsi="宋体" w:eastAsia="宋体" w:cs="宋体"/>
                <w:sz w:val="24"/>
                <w:szCs w:val="24"/>
              </w:rPr>
              <w:t>（4）对发现的问题按有关要求进行整改。</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855"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（三十七）严格遵守许可条件和相关行为规范</w:t>
            </w:r>
          </w:p>
        </w:tc>
        <w:tc>
          <w:tcPr>
            <w:tcW w:w="794"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101.依法应获行政许可方能生产经营的单位，应全部取得许可证件，并持续符合许可条件。严格执行食品安全国家标准。鼓励企业制定并执行比食品安全国家标准或地方标准更严格的标准。严格执行国家食品生产通用卫生规范、食品经营过程卫生规范。食品生产经营单位应当依法依规公示相关信息。</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（1）掌握全市食品生产经营单位、食品相关产品生产单位明细，已备案企业标准的企业名单。</w:t>
            </w:r>
          </w:p>
          <w:p>
            <w:pPr>
              <w:pStyle w:val="5"/>
              <w:keepNext w:val="0"/>
              <w:keepLines w:val="0"/>
              <w:widowControl/>
              <w:suppressLineNumbers w:val="0"/>
              <w:spacing w:line="405" w:lineRule="atLeast"/>
            </w:pPr>
            <w:r>
              <w:rPr>
                <w:rFonts w:hint="eastAsia" w:ascii="宋体" w:hAnsi="宋体" w:eastAsia="宋体" w:cs="宋体"/>
                <w:sz w:val="24"/>
                <w:szCs w:val="24"/>
              </w:rPr>
              <w:t>（2）食品生产经营单位依法获得行政许可并持续符合许可条件，严格执行食品安全标准，依法依规公示相关信息。</w:t>
            </w:r>
          </w:p>
          <w:p>
            <w:pPr>
              <w:pStyle w:val="5"/>
              <w:keepNext w:val="0"/>
              <w:keepLines w:val="0"/>
              <w:widowControl/>
              <w:suppressLineNumbers w:val="0"/>
              <w:spacing w:line="405" w:lineRule="atLeast"/>
            </w:pPr>
            <w:r>
              <w:rPr>
                <w:rFonts w:hint="eastAsia" w:ascii="宋体" w:hAnsi="宋体" w:eastAsia="宋体" w:cs="宋体"/>
                <w:sz w:val="24"/>
                <w:szCs w:val="24"/>
              </w:rPr>
              <w:t>（3）抽查食品相关产品生产企业，对获得许可证件并抚续符合许可条件等相关信息情况进行检查，对相关主体责任重点指标进行复核；对执行国家食品安全标准情况进行复核，重点核查是否遵循使用现行有效的国家及地方食品安全标准、是否严格执行生产通用卫生规范和经营过程卫生规范及相关的国家及地方食品安全标准、是否存在执行未备案的企业标准、是否执行已备案的企业标准等。</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食品生产经营单位，食品相关产品生产单位</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w:t>
            </w:r>
            <w:r>
              <w:rPr>
                <w:rStyle w:val="7"/>
                <w:rFonts w:hint="eastAsia" w:ascii="宋体" w:hAnsi="宋体" w:eastAsia="宋体" w:cs="宋体"/>
                <w:b/>
                <w:sz w:val="24"/>
                <w:szCs w:val="24"/>
              </w:rPr>
              <w:t>流通处、餐饮处、</w:t>
            </w:r>
            <w:r>
              <w:rPr>
                <w:rFonts w:hint="eastAsia" w:ascii="宋体" w:hAnsi="宋体" w:eastAsia="宋体" w:cs="宋体"/>
                <w:sz w:val="24"/>
                <w:szCs w:val="24"/>
              </w:rPr>
              <w:t>产品质量安全监管处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030"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4"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102.行政区域内规模以上食品生产经营企业普遍实施良好生产规范、危害分析与关键控制点（HACCP）体系、食品安全管理体系和食品防护计划等国际通行的质量管理规范。鼓励企业获得相关认证，鼓励出口食品生产企业实施内外销“同线同标同质”。通过认证的，可以在其产品包装上予以标识，认证机构应当依法实施跟踪调查并通报、公布。</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全市规模以上食品生产企业（含食品相关产品生产企业）60%以上实施国际通行的质量管理规范或相关认证，食品生产企业实施国际通行的质量管理规范或相关认证的食品生产经营企业总数或占比在全省位列1-5位。</w:t>
            </w:r>
          </w:p>
          <w:p>
            <w:pPr>
              <w:pStyle w:val="5"/>
              <w:keepNext w:val="0"/>
              <w:keepLines w:val="0"/>
              <w:widowControl/>
              <w:suppressLineNumbers w:val="0"/>
              <w:spacing w:line="405" w:lineRule="atLeast"/>
            </w:pPr>
            <w:r>
              <w:rPr>
                <w:rFonts w:hint="eastAsia" w:ascii="宋体" w:hAnsi="宋体" w:eastAsia="宋体" w:cs="宋体"/>
                <w:sz w:val="24"/>
                <w:szCs w:val="24"/>
              </w:rPr>
              <w:t>（3）认证机构能够依法实施跟踪调查并通报、公布相关情况。</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相关数据指标汇总统计明细。</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市市场监管、沈阳海关等部门，食品生产经营单位，认证机构</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w:t>
            </w:r>
            <w:r>
              <w:rPr>
                <w:rStyle w:val="7"/>
                <w:rFonts w:hint="eastAsia" w:ascii="宋体" w:hAnsi="宋体" w:eastAsia="宋体" w:cs="宋体"/>
                <w:b/>
                <w:sz w:val="24"/>
                <w:szCs w:val="24"/>
              </w:rPr>
              <w:t>认证监督管理处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cantSplit/>
          <w:trHeight w:val="270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（三十八）落实食品安全追溯责任</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103.食品生产经营者全部依法建立并执行食品生产、销售、进货查验、出厂检验等各项记录制度，能够通过记录和查验有效实现追溯。鼓励企业采用信息化手段采集、留存生产经营信息，实行电子追溯。婴幼儿配方乳粉生产经营全面实现电子追溯。</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（2）全市食品生产经营者、食品相关产品生产企业全部依法建立执行相关制度，有效实现追溯。</w:t>
            </w:r>
            <w:r>
              <w:rPr>
                <w:rFonts w:hint="eastAsia" w:ascii="宋体" w:hAnsi="宋体" w:eastAsia="宋体" w:cs="宋体"/>
                <w:sz w:val="24"/>
                <w:szCs w:val="24"/>
              </w:rPr>
              <w:br w:type="textWrapping"/>
            </w:r>
            <w:r>
              <w:rPr>
                <w:rFonts w:hint="eastAsia" w:ascii="宋体" w:hAnsi="宋体" w:eastAsia="宋体" w:cs="宋体"/>
                <w:sz w:val="24"/>
                <w:szCs w:val="24"/>
              </w:rPr>
              <w:t>（3）全市采用信息化手段采集、留存生产经营信息、实行电子追溯的食品生产经营企业数或占比在全省位列1-5位。</w:t>
            </w:r>
          </w:p>
          <w:p>
            <w:pPr>
              <w:pStyle w:val="5"/>
              <w:keepNext w:val="0"/>
              <w:keepLines w:val="0"/>
              <w:widowControl/>
              <w:suppressLineNumbers w:val="0"/>
              <w:spacing w:line="405" w:lineRule="atLeast"/>
            </w:pPr>
            <w:r>
              <w:rPr>
                <w:rFonts w:hint="eastAsia" w:ascii="宋体" w:hAnsi="宋体" w:eastAsia="宋体" w:cs="宋体"/>
                <w:sz w:val="24"/>
                <w:szCs w:val="24"/>
              </w:rPr>
              <w:t>（4）全市婴幼儿配方乳粉生产经营（批发）单位100%实现电子追溯。</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相关数据指标汇总统计明细。</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食品生产经营单位，食品相关产品生产单位，婴幼儿配方乳粉生产经营单位</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食品生产处、流通处、餐饮处、产品质量安全监管处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405"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（三十九）从业人员管理制度健全</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104.规模以上食品生产经营单位设置食品安全管理机构，明确分管负责人，配备食品安全管理人员，加强对其培训和考核。食品生产经营单位负责人、食品安全管理人员、主要从业人员每人每年接受食品安全法律法规、科学知识和行业道德伦理的集中培训不少于40小时。食品生产经营者应当建立并执行从业人员健康管理制度。从事接触直接入口食品工作的食品生产经营人员取得健康证明后方可上岗工作。</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（2）规模以上食品生产经营企业设置食品安全管理机构，明确分管负责人，配备食品安全管理人员，加强对其培训和考核。</w:t>
            </w:r>
            <w:r>
              <w:rPr>
                <w:rFonts w:hint="eastAsia" w:ascii="宋体" w:hAnsi="宋体" w:eastAsia="宋体" w:cs="宋体"/>
                <w:sz w:val="24"/>
                <w:szCs w:val="24"/>
              </w:rPr>
              <w:br w:type="textWrapping"/>
            </w:r>
            <w:r>
              <w:rPr>
                <w:rFonts w:hint="eastAsia" w:ascii="宋体" w:hAnsi="宋体" w:eastAsia="宋体" w:cs="宋体"/>
                <w:sz w:val="24"/>
                <w:szCs w:val="24"/>
              </w:rPr>
              <w:t>（3）食品生产经营单位负责人、食品安全管理人员、主要从业人员参加培训学习，掌握必备的食品安全法律法规及专业知识。</w:t>
            </w:r>
            <w:r>
              <w:rPr>
                <w:rFonts w:hint="eastAsia" w:ascii="宋体" w:hAnsi="宋体" w:eastAsia="宋体" w:cs="宋体"/>
                <w:sz w:val="24"/>
                <w:szCs w:val="24"/>
              </w:rPr>
              <w:br w:type="textWrapping"/>
            </w:r>
            <w:r>
              <w:rPr>
                <w:rFonts w:hint="eastAsia" w:ascii="宋体" w:hAnsi="宋体" w:eastAsia="宋体" w:cs="宋体"/>
                <w:sz w:val="24"/>
                <w:szCs w:val="24"/>
              </w:rPr>
              <w:t>（4）食品生产经营单位执行从业人员健康管理制度，从事接触直接入口食品工作的食品生产经营人员全部取得健康证明。</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相关数据指标汇总统计明细。相关人员对必备的食品安全法律法规及专业知识的掌握情况，采取对被抽查人员现场问卷答题的方式进行复核。</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食品生产经营单位及其负责人，食品安全管理人员，从业人员</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625"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（四十）集中交易市场管理规范</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105.食用农产品批发市场、大型农贸市场开办者全面落实食品安全管理责任，建立并严格实施入场销售者准入和退市、检验、自查、主动报告、信息公示等制度，督促入场销售者依法依规从事销售活动。入场销售者主动落实食品安全主体责任，建立并严格实施进货查验记录制度，不得销售禁止销售以及来源不明的食用农产品。</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（1）掌握全市食用农产品批发市场、大型农贸市场明细。</w:t>
            </w:r>
          </w:p>
          <w:p>
            <w:pPr>
              <w:pStyle w:val="5"/>
              <w:keepNext w:val="0"/>
              <w:keepLines w:val="0"/>
              <w:widowControl/>
              <w:suppressLineNumbers w:val="0"/>
              <w:spacing w:line="405" w:lineRule="atLeast"/>
            </w:pPr>
            <w:r>
              <w:rPr>
                <w:rFonts w:hint="eastAsia" w:ascii="宋体" w:hAnsi="宋体" w:eastAsia="宋体" w:cs="宋体"/>
                <w:sz w:val="24"/>
                <w:szCs w:val="24"/>
              </w:rPr>
              <w:t>（2）食用农产品批发市场、大型农贸市场开办者全面落实食品安全管理责任及相关制度要求（包括实施入场销售者准入和退市、检验、自查、主动报告、信息公示等制度）。</w:t>
            </w:r>
            <w:r>
              <w:rPr>
                <w:rFonts w:hint="eastAsia" w:ascii="宋体" w:hAnsi="宋体" w:eastAsia="宋体" w:cs="宋体"/>
                <w:sz w:val="24"/>
                <w:szCs w:val="24"/>
              </w:rPr>
              <w:br w:type="textWrapping"/>
            </w:r>
            <w:r>
              <w:rPr>
                <w:rFonts w:hint="eastAsia" w:ascii="宋体" w:hAnsi="宋体" w:eastAsia="宋体" w:cs="宋体"/>
                <w:sz w:val="24"/>
                <w:szCs w:val="24"/>
              </w:rPr>
              <w:t>（3）食用农产品批发市场或大型农贸市场入场销售者应落实进货查验、索证索票等主体责任情况，不得销售禁止销售以及来源不明食用农产品。</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食用农产品批发市场、大型农贸市场、入场销售者</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食品流通处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237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（四十一）规范处置畜禽产品废弃物</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关键项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106.屠宰企业、肉类加工企业等单位应当按照规定单独收集、存放以及处理本单位产生的肉类加工废弃物或检验检疫不合格的畜禽产品，建立相关制度及台账，保存期限不得少于二年。</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（1）掌握全市肉类加工企业明细。</w:t>
            </w:r>
          </w:p>
          <w:p>
            <w:pPr>
              <w:pStyle w:val="5"/>
              <w:keepNext w:val="0"/>
              <w:keepLines w:val="0"/>
              <w:widowControl/>
              <w:suppressLineNumbers w:val="0"/>
              <w:spacing w:line="405" w:lineRule="atLeast"/>
            </w:pPr>
            <w:r>
              <w:rPr>
                <w:rFonts w:hint="eastAsia" w:ascii="宋体" w:hAnsi="宋体" w:eastAsia="宋体" w:cs="宋体"/>
                <w:sz w:val="24"/>
                <w:szCs w:val="24"/>
              </w:rPr>
              <w:t>（2）肉类加工企业能够按照规定单独收集、存放以及处理本单位产生的肉类加工废弃物，建立相关制度及台账，保存期限不少于二年。（制度应包括畜禽来源、畜禽产品流向记录、检疫、肉品品质检验合格出厂、病害畜禽及畜禽产品无害化处理等）。</w:t>
            </w:r>
          </w:p>
          <w:p>
            <w:pPr>
              <w:pStyle w:val="5"/>
              <w:keepNext w:val="0"/>
              <w:keepLines w:val="0"/>
              <w:widowControl/>
              <w:suppressLineNumbers w:val="0"/>
              <w:spacing w:line="405" w:lineRule="atLeast"/>
            </w:pPr>
            <w:r>
              <w:rPr>
                <w:rFonts w:hint="eastAsia" w:ascii="宋体" w:hAnsi="宋体" w:eastAsia="宋体" w:cs="宋体"/>
                <w:sz w:val="24"/>
                <w:szCs w:val="24"/>
              </w:rPr>
              <w:t>（3）加强屠宰企业、肉类加工企业废弃物无害化处理和资源化利用管理。</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屠宰企业、肉类加工企业</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cantSplit/>
          <w:trHeight w:val="321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（四十二）及时依法召回不安全食品</w:t>
            </w:r>
          </w:p>
        </w:tc>
        <w:tc>
          <w:tcPr>
            <w:tcW w:w="794"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z w:val="24"/>
                <w:szCs w:val="24"/>
              </w:rPr>
              <w:t>基本项</w:t>
            </w:r>
          </w:p>
        </w:tc>
        <w:tc>
          <w:tcPr>
            <w:tcW w:w="5272"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107.食品生产者通过任何方式知悉其生产经营的食品属于不安全食品的，都应当主动召回，相关食品经营者知悉后应当采取措施配合。食品经营者对因自身原因所导致的不安全食品，应当依法依规主动召回。食品生产经营者应当依法依规对退出市场的不安全食品采取处置措施，并如实记录停止生产经营、召回和处置不安全食品的相关信息。记录保存期限不得少于二年。</w:t>
            </w:r>
          </w:p>
        </w:tc>
        <w:tc>
          <w:tcPr>
            <w:tcW w:w="7921"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（1）掌握全市召回企业清单。</w:t>
            </w:r>
          </w:p>
          <w:p>
            <w:pPr>
              <w:pStyle w:val="5"/>
              <w:keepNext w:val="0"/>
              <w:keepLines w:val="0"/>
              <w:widowControl/>
              <w:suppressLineNumbers w:val="0"/>
              <w:spacing w:line="405" w:lineRule="atLeast"/>
            </w:pPr>
            <w:r>
              <w:rPr>
                <w:rFonts w:hint="eastAsia" w:ascii="宋体" w:hAnsi="宋体" w:eastAsia="宋体" w:cs="宋体"/>
                <w:sz w:val="24"/>
                <w:szCs w:val="24"/>
              </w:rPr>
              <w:t>（2）食品生产经营者依法履行食品安全召回相关责任，建立召回制度，发布召回通知或公告，及时停止生产销售问题产品，对问题产品进行处置，按要求记录并留存二年。</w:t>
            </w:r>
          </w:p>
          <w:p>
            <w:pPr>
              <w:pStyle w:val="5"/>
              <w:keepNext w:val="0"/>
              <w:keepLines w:val="0"/>
              <w:widowControl/>
              <w:suppressLineNumbers w:val="0"/>
              <w:spacing w:line="405" w:lineRule="atLeast"/>
            </w:pPr>
            <w:r>
              <w:rPr>
                <w:rFonts w:hint="eastAsia" w:ascii="宋体" w:hAnsi="宋体" w:eastAsia="宋体" w:cs="宋体"/>
                <w:sz w:val="24"/>
                <w:szCs w:val="24"/>
              </w:rPr>
              <w:t>（3）监管部门对未主动召回单位通知问题企业实施召回等。</w:t>
            </w:r>
          </w:p>
        </w:tc>
        <w:tc>
          <w:tcPr>
            <w:tcW w:w="254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底数名单。</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7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食品生产经营单位</w:t>
            </w:r>
          </w:p>
        </w:tc>
        <w:tc>
          <w:tcPr>
            <w:tcW w:w="1408"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w:t>
            </w:r>
          </w:p>
        </w:tc>
        <w:tc>
          <w:tcPr>
            <w:tcW w:w="1423"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bl>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等线" w:hAnsi="等线" w:eastAsia="等线" w:cs="等线"/>
          <w:sz w:val="21"/>
          <w:szCs w:val="21"/>
        </w:rPr>
        <w:t>  </w:t>
      </w:r>
    </w:p>
    <w:p>
      <w:pPr>
        <w:pStyle w:val="5"/>
        <w:keepNext w:val="0"/>
        <w:keepLines w:val="0"/>
        <w:widowControl/>
        <w:suppressLineNumbers w:val="0"/>
      </w:pPr>
      <w:r>
        <w:rPr>
          <w:rFonts w:hint="eastAsia" w:ascii="黑体" w:hAnsi="宋体" w:eastAsia="黑体" w:cs="黑体"/>
          <w:sz w:val="31"/>
          <w:szCs w:val="31"/>
        </w:rPr>
        <w:t>七、社会共治格局基本形成</w:t>
      </w:r>
    </w:p>
    <w:tbl>
      <w:tblPr>
        <w:tblStyle w:val="8"/>
        <w:tblW w:w="2221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74"/>
        <w:gridCol w:w="795"/>
        <w:gridCol w:w="5280"/>
        <w:gridCol w:w="7935"/>
        <w:gridCol w:w="2550"/>
        <w:gridCol w:w="1980"/>
        <w:gridCol w:w="1425"/>
        <w:gridCol w:w="12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7049" w:type="dxa"/>
            <w:gridSpan w:val="3"/>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国家食品安全示范城市标准</w:t>
            </w:r>
          </w:p>
        </w:tc>
        <w:tc>
          <w:tcPr>
            <w:tcW w:w="793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工作任务</w:t>
            </w:r>
          </w:p>
        </w:tc>
        <w:tc>
          <w:tcPr>
            <w:tcW w:w="255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审核检查</w:t>
            </w:r>
          </w:p>
        </w:tc>
        <w:tc>
          <w:tcPr>
            <w:tcW w:w="1980"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主要评</w:t>
            </w:r>
          </w:p>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价对象</w:t>
            </w:r>
          </w:p>
        </w:tc>
        <w:tc>
          <w:tcPr>
            <w:tcW w:w="142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牵头处室</w:t>
            </w:r>
          </w:p>
        </w:tc>
        <w:tc>
          <w:tcPr>
            <w:tcW w:w="1275" w:type="dxa"/>
            <w:vMerge w:val="restar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配合处室</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30"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项目</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属性</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jc w:val="center"/>
            </w:pPr>
            <w:r>
              <w:rPr>
                <w:rStyle w:val="7"/>
                <w:rFonts w:hint="eastAsia" w:ascii="宋体" w:hAnsi="宋体" w:eastAsia="宋体" w:cs="宋体"/>
                <w:b/>
                <w:sz w:val="24"/>
                <w:szCs w:val="24"/>
              </w:rPr>
              <w:t>评价内容</w:t>
            </w:r>
          </w:p>
        </w:tc>
        <w:tc>
          <w:tcPr>
            <w:tcW w:w="793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55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275" w:type="dxa"/>
            <w:vMerge w:val="continue"/>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120"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（四十三）食品安全诚信体系健全</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108.政府建立并完善食品安全诚信管理制度，将食品生产经营相关法人和非法人组织、个人的食品安全信用状况全面纳入社会诚信体系范围，各类食品生产经营者食品安全信用信息全面、准确记录并及时更新，食品安全失信行为在金融、土地、许可等各领域得到联合惩戒。</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市政府出台食品安全诚信管理的相关制度措施，将食品生产经营相关法人和非法人组织、个人的食品安全信用状况全面纳入社会诚信体系范围，明确失信行为在金融、土地、许可等领域实行联合惩戒的具体规定。</w:t>
            </w:r>
          </w:p>
          <w:p>
            <w:pPr>
              <w:pStyle w:val="5"/>
              <w:keepNext w:val="0"/>
              <w:keepLines w:val="0"/>
              <w:widowControl/>
              <w:suppressLineNumbers w:val="0"/>
              <w:spacing w:line="405" w:lineRule="atLeast"/>
            </w:pPr>
            <w:r>
              <w:rPr>
                <w:rFonts w:hint="eastAsia" w:ascii="宋体" w:hAnsi="宋体" w:eastAsia="宋体" w:cs="宋体"/>
                <w:sz w:val="24"/>
                <w:szCs w:val="24"/>
              </w:rPr>
              <w:t>（2）在信用管理领域出台的相关政策规定等系列制度措施，整体上能够适用于食品相关产品安全领域的信用管理工作并具有操作性，且已经得到有效执行。</w:t>
            </w:r>
          </w:p>
          <w:p>
            <w:pPr>
              <w:pStyle w:val="5"/>
              <w:keepNext w:val="0"/>
              <w:keepLines w:val="0"/>
              <w:widowControl/>
              <w:suppressLineNumbers w:val="0"/>
              <w:spacing w:line="405" w:lineRule="atLeast"/>
            </w:pPr>
            <w:r>
              <w:rPr>
                <w:rFonts w:hint="eastAsia" w:ascii="宋体" w:hAnsi="宋体" w:eastAsia="宋体" w:cs="宋体"/>
                <w:sz w:val="24"/>
                <w:szCs w:val="24"/>
              </w:rPr>
              <w:t>（3）掌握全市食品生产经营相关法人和非法人组织、个人的食品安全信用状况全面纳入社会诚信体系范围，纳入失信行为在金融、土地、许可惩戒名单。</w:t>
            </w:r>
          </w:p>
        </w:tc>
        <w:tc>
          <w:tcPr>
            <w:tcW w:w="255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相关制度文件，案卷，信用档案。</w:t>
            </w:r>
          </w:p>
        </w:tc>
        <w:tc>
          <w:tcPr>
            <w:tcW w:w="19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市政府，市县乡级市场监管、农业、渔业、畜牧、公安、信用主管部门等</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信用监管处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130"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109.各监管部门建立信用信息管理制度、食品生产经营者信用档案及食品安全信用信息数据库，公开食品安全信用信息。将各类食品生产经营企业的行政许可、行政处罚、抽查检查结果等信息，通过相关信用信息系统统一归集、记录并予以公示。</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（2）市级市场监管部门建立本系统信用信息管理制度。</w:t>
            </w:r>
          </w:p>
          <w:p>
            <w:pPr>
              <w:pStyle w:val="5"/>
              <w:keepNext w:val="0"/>
              <w:keepLines w:val="0"/>
              <w:widowControl/>
              <w:suppressLineNumbers w:val="0"/>
              <w:spacing w:line="405" w:lineRule="atLeast"/>
            </w:pPr>
            <w:r>
              <w:rPr>
                <w:rFonts w:hint="eastAsia" w:ascii="宋体" w:hAnsi="宋体" w:eastAsia="宋体" w:cs="宋体"/>
                <w:sz w:val="24"/>
                <w:szCs w:val="24"/>
              </w:rPr>
              <w:t>（3）市县级市场监管部门建立食品生产经营单位、食品相关产品企业信用档案，按规定使用相关信用信息数据平台并公开食品安全信用信息。</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信用监管处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395"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（四十四）推动建立食品安全责任保险制度</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110.稳步扩大食品安全责任保险覆盖范围，保险赔付相关事前事中事后政策健全，应获赔付的消费者能够及时方便得到赔付。</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（1）掌握全市食品安全责任保险参保企业清单。</w:t>
            </w:r>
          </w:p>
          <w:p>
            <w:pPr>
              <w:pStyle w:val="5"/>
              <w:keepNext w:val="0"/>
              <w:keepLines w:val="0"/>
              <w:widowControl/>
              <w:suppressLineNumbers w:val="0"/>
              <w:spacing w:line="405" w:lineRule="atLeast"/>
            </w:pPr>
            <w:r>
              <w:rPr>
                <w:rFonts w:hint="eastAsia" w:ascii="宋体" w:hAnsi="宋体" w:eastAsia="宋体" w:cs="宋体"/>
                <w:sz w:val="24"/>
                <w:szCs w:val="24"/>
              </w:rPr>
              <w:t>（2）全市参保企业数量较上年提高，参保企业数量或比例位列全省前三分之一。</w:t>
            </w:r>
          </w:p>
        </w:tc>
        <w:tc>
          <w:tcPr>
            <w:tcW w:w="255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参保情况汇总明细，保险合同等证实材料。</w:t>
            </w:r>
          </w:p>
          <w:p>
            <w:pPr>
              <w:pStyle w:val="5"/>
              <w:keepNext w:val="0"/>
              <w:keepLines w:val="0"/>
              <w:widowControl/>
              <w:suppressLineNumbers w:val="0"/>
              <w:spacing w:line="405" w:lineRule="atLeast"/>
            </w:pPr>
            <w:r>
              <w:rPr>
                <w:rStyle w:val="7"/>
                <w:rFonts w:hint="eastAsia" w:ascii="宋体" w:hAnsi="宋体" w:eastAsia="宋体" w:cs="宋体"/>
                <w:b/>
                <w:sz w:val="24"/>
                <w:szCs w:val="24"/>
              </w:rPr>
              <w:t>2.检查点位。</w:t>
            </w:r>
          </w:p>
        </w:tc>
        <w:tc>
          <w:tcPr>
            <w:tcW w:w="19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w:t>
            </w:r>
            <w:r>
              <w:rPr>
                <w:rFonts w:hint="eastAsia" w:ascii="宋体" w:hAnsi="宋体" w:eastAsia="宋体" w:cs="宋体"/>
                <w:sz w:val="24"/>
                <w:szCs w:val="24"/>
                <w:lang w:eastAsia="zh-CN"/>
              </w:rPr>
              <w:t>市场监管局</w:t>
            </w:r>
            <w:bookmarkStart w:id="1" w:name="_GoBack"/>
            <w:bookmarkEnd w:id="1"/>
            <w:r>
              <w:rPr>
                <w:rFonts w:hint="eastAsia" w:ascii="宋体" w:hAnsi="宋体" w:eastAsia="宋体" w:cs="宋体"/>
                <w:sz w:val="24"/>
                <w:szCs w:val="24"/>
              </w:rPr>
              <w:t>，参保企业，保险公司</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44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111.充分发挥保险的风险控制和社会管理功能，探索建立行业组织、保险机构、企业、消费者多方参与、互动共赢的激励约束机制和风险防控机制。</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或县区在探索建立鼓励约束机制和风险防控机制方面有具体举措和成效。（如，政府经费补贴支持企业参保、保险公司对参保企业主动开展食品安全风险评估、企业在产品包装标签和广告宣传中如实标称参加食品安全责任保险、将企业参保情况作为重要因素纳入食品安全风险管理和信用管理、行业组织积极参与推动食品安全责任保险、学校食堂超市大宗食品配送单位统一参保等其他措施，达到上述列举举措4种以上）</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720"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（四十五）社会监督渠道畅通</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关键项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112.开通网络投诉举报平台，设立统一的投诉举报电话，建成覆盖市、县的投诉举报业务系统，实现网络24小时接通，电话在受理时间内接通率≥90%，按法定时限回复率、有效处置率均达100%。</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（1）市级开通网络投诉举报平台。</w:t>
            </w:r>
            <w:r>
              <w:rPr>
                <w:rFonts w:hint="eastAsia" w:ascii="宋体" w:hAnsi="宋体" w:eastAsia="宋体" w:cs="宋体"/>
                <w:sz w:val="24"/>
                <w:szCs w:val="24"/>
              </w:rPr>
              <w:br w:type="textWrapping"/>
            </w:r>
            <w:r>
              <w:rPr>
                <w:rFonts w:hint="eastAsia" w:ascii="宋体" w:hAnsi="宋体" w:eastAsia="宋体" w:cs="宋体"/>
                <w:sz w:val="24"/>
                <w:szCs w:val="24"/>
              </w:rPr>
              <w:t>（2）设立统一的投诉举报电话且网络24小时畅通，电话接通率≥90%。</w:t>
            </w:r>
            <w:r>
              <w:rPr>
                <w:rFonts w:hint="eastAsia" w:ascii="宋体" w:hAnsi="宋体" w:eastAsia="宋体" w:cs="宋体"/>
                <w:sz w:val="24"/>
                <w:szCs w:val="24"/>
              </w:rPr>
              <w:br w:type="textWrapping"/>
            </w:r>
            <w:r>
              <w:rPr>
                <w:rFonts w:hint="eastAsia" w:ascii="宋体" w:hAnsi="宋体" w:eastAsia="宋体" w:cs="宋体"/>
                <w:sz w:val="24"/>
                <w:szCs w:val="24"/>
              </w:rPr>
              <w:t>（3）有覆盖市、县区的投诉举报业务系统，且系统正常运行。</w:t>
            </w:r>
            <w:r>
              <w:rPr>
                <w:rFonts w:hint="eastAsia" w:ascii="宋体" w:hAnsi="宋体" w:eastAsia="宋体" w:cs="宋体"/>
                <w:sz w:val="24"/>
                <w:szCs w:val="24"/>
              </w:rPr>
              <w:br w:type="textWrapping"/>
            </w:r>
            <w:r>
              <w:rPr>
                <w:rFonts w:hint="eastAsia" w:ascii="宋体" w:hAnsi="宋体" w:eastAsia="宋体" w:cs="宋体"/>
                <w:sz w:val="24"/>
                <w:szCs w:val="24"/>
              </w:rPr>
              <w:t>（4）按法定时限回复率100%；有效处置率达100%。</w:t>
            </w:r>
          </w:p>
        </w:tc>
        <w:tc>
          <w:tcPr>
            <w:tcW w:w="255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制度文件，投诉举报案卷，财政拨付举报奖金凭证，举报奖金兑现发放凭证等证实材料。（对电话接通率的复核，在任意3个人工接听时间段累计拨打10次电话，计算电话接通率。）</w:t>
            </w:r>
          </w:p>
        </w:tc>
        <w:tc>
          <w:tcPr>
            <w:tcW w:w="19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市县市场监管部门、财政部门</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市场监管中心投诉举报服务部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33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113.鼓励食品生产经营企业员工举报违法行为，建立举报人保护制度。</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（1）市级建立举报人保护制度。</w:t>
            </w:r>
          </w:p>
          <w:p>
            <w:pPr>
              <w:pStyle w:val="5"/>
              <w:keepNext w:val="0"/>
              <w:keepLines w:val="0"/>
              <w:widowControl/>
              <w:suppressLineNumbers w:val="0"/>
              <w:spacing w:line="405" w:lineRule="atLeast"/>
            </w:pPr>
            <w:r>
              <w:rPr>
                <w:rFonts w:hint="eastAsia" w:ascii="宋体" w:hAnsi="宋体" w:eastAsia="宋体" w:cs="宋体"/>
                <w:sz w:val="24"/>
                <w:szCs w:val="24"/>
              </w:rPr>
              <w:t>（2）出台具体措施鼓励企业员工举报违法行为。</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市场监管中心投诉举报服务部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60"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114.设立举报奖励资金，并及时兑现。</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（1）出台举报奖励管理办法。</w:t>
            </w:r>
            <w:r>
              <w:rPr>
                <w:rFonts w:hint="eastAsia" w:ascii="宋体" w:hAnsi="宋体" w:eastAsia="宋体" w:cs="宋体"/>
                <w:sz w:val="24"/>
                <w:szCs w:val="24"/>
              </w:rPr>
              <w:br w:type="textWrapping"/>
            </w:r>
            <w:r>
              <w:rPr>
                <w:rFonts w:hint="eastAsia" w:ascii="宋体" w:hAnsi="宋体" w:eastAsia="宋体" w:cs="宋体"/>
                <w:sz w:val="24"/>
                <w:szCs w:val="24"/>
              </w:rPr>
              <w:t>（2）市、县全部设立举报奖励资金并保证奖励资金发放到位。</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市场监管中心投诉举报服务部</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70"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115.当地新闻媒体应积极开展食品安全法律、法规以及食品安全标准和知识的公益宣传，弘扬正面典型，对食品安全违法行为进行舆论监督。</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两种以上市级新闻媒体每年累计宣传20次以上食品安全法律、法规、食品安全标准及知识宣传，有正面典型宣传和舆论监督报道。</w:t>
            </w:r>
          </w:p>
        </w:tc>
        <w:tc>
          <w:tcPr>
            <w:tcW w:w="255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媒体宣传报道证实材料，建议提案主办清单，建议提案办理情况征询意见表，相关答复意见，社会监督活动影音记录等证实材料。</w:t>
            </w:r>
          </w:p>
        </w:tc>
        <w:tc>
          <w:tcPr>
            <w:tcW w:w="19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市县政府建议提案办理主管部门，市委宣传部、广电局及市场监管局等食品安全监管部门</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57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116.充分发挥人大代表、政协委员、专家学者、新闻媒体、行业协会代表等各方面力量的作用，发现当地食品安全问题，监督企业主体责任落实情况和政府、食品安全监管部门履职尽责。</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（2）市县人大建议和政协提案办结率100%。</w:t>
            </w:r>
            <w:r>
              <w:rPr>
                <w:rFonts w:hint="eastAsia" w:ascii="宋体" w:hAnsi="宋体" w:eastAsia="宋体" w:cs="宋体"/>
                <w:sz w:val="24"/>
                <w:szCs w:val="24"/>
              </w:rPr>
              <w:br w:type="textWrapping"/>
            </w:r>
            <w:r>
              <w:rPr>
                <w:rFonts w:hint="eastAsia" w:ascii="宋体" w:hAnsi="宋体" w:eastAsia="宋体" w:cs="宋体"/>
                <w:sz w:val="24"/>
                <w:szCs w:val="24"/>
              </w:rPr>
              <w:t>（3）市县人大建议和政协提案办理满意率100%。</w:t>
            </w:r>
            <w:r>
              <w:rPr>
                <w:rFonts w:hint="eastAsia" w:ascii="宋体" w:hAnsi="宋体" w:eastAsia="宋体" w:cs="宋体"/>
                <w:sz w:val="24"/>
                <w:szCs w:val="24"/>
              </w:rPr>
              <w:br w:type="textWrapping"/>
            </w:r>
            <w:r>
              <w:rPr>
                <w:rFonts w:hint="eastAsia" w:ascii="宋体" w:hAnsi="宋体" w:eastAsia="宋体" w:cs="宋体"/>
                <w:sz w:val="24"/>
                <w:szCs w:val="24"/>
              </w:rPr>
              <w:t>（4）市人大政协、新闻媒体、专家学者、行业协会代表等各方面最近1年累计至少开展1次社会监督活动。8</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办公室</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3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117.鼓励和支持本地行业协会制定行规行约、自律规范和职业道德准则，建立健全行业规范和奖惩机制，主动发现解决本地行业共性隐患问题，引导和促进食品生产经营者依法履行不安全食品的停止生产经营、及时召回和处置义务，制定严于食品安全国家标准的团体标准。</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（1）行业协会制定行规行约、自律规范、职业道德准则、行业奖惩机制文件。</w:t>
            </w:r>
          </w:p>
          <w:p>
            <w:pPr>
              <w:pStyle w:val="5"/>
              <w:keepNext w:val="0"/>
              <w:keepLines w:val="0"/>
              <w:widowControl/>
              <w:suppressLineNumbers w:val="0"/>
              <w:spacing w:line="375" w:lineRule="atLeast"/>
            </w:pPr>
            <w:r>
              <w:rPr>
                <w:rFonts w:hint="eastAsia" w:ascii="宋体" w:hAnsi="宋体" w:eastAsia="宋体" w:cs="宋体"/>
                <w:sz w:val="24"/>
                <w:szCs w:val="24"/>
              </w:rPr>
              <w:t>（2）行业协会发现并解决行业共性隐患问题，有清单、有措施。</w:t>
            </w:r>
          </w:p>
          <w:p>
            <w:pPr>
              <w:pStyle w:val="5"/>
              <w:keepNext w:val="0"/>
              <w:keepLines w:val="0"/>
              <w:widowControl/>
              <w:suppressLineNumbers w:val="0"/>
              <w:spacing w:line="375" w:lineRule="atLeast"/>
            </w:pPr>
            <w:r>
              <w:rPr>
                <w:rFonts w:hint="eastAsia" w:ascii="宋体" w:hAnsi="宋体" w:eastAsia="宋体" w:cs="宋体"/>
                <w:sz w:val="24"/>
                <w:szCs w:val="24"/>
              </w:rPr>
              <w:t>（3）行业协会开展工作引导和促进食品生产经营者依法履行不安全食品的停止生产经营、召回和处置义务。</w:t>
            </w:r>
          </w:p>
          <w:p>
            <w:pPr>
              <w:pStyle w:val="5"/>
              <w:keepNext w:val="0"/>
              <w:keepLines w:val="0"/>
              <w:widowControl/>
              <w:suppressLineNumbers w:val="0"/>
              <w:spacing w:line="375" w:lineRule="atLeast"/>
            </w:pPr>
            <w:r>
              <w:rPr>
                <w:rFonts w:hint="eastAsia" w:ascii="宋体" w:hAnsi="宋体" w:eastAsia="宋体" w:cs="宋体"/>
                <w:sz w:val="24"/>
                <w:szCs w:val="24"/>
              </w:rPr>
              <w:t>（4）行业协会制定严于食品安全国家标准的团体标准。</w:t>
            </w:r>
          </w:p>
          <w:p>
            <w:pPr>
              <w:pStyle w:val="5"/>
              <w:keepNext w:val="0"/>
              <w:keepLines w:val="0"/>
              <w:widowControl/>
              <w:suppressLineNumbers w:val="0"/>
              <w:spacing w:line="375" w:lineRule="atLeast"/>
            </w:pPr>
            <w:r>
              <w:rPr>
                <w:rFonts w:hint="eastAsia" w:ascii="宋体" w:hAnsi="宋体" w:eastAsia="宋体" w:cs="宋体"/>
                <w:sz w:val="24"/>
                <w:szCs w:val="24"/>
              </w:rPr>
              <w:t>（5）协会会员中的食品生产经营单位、食品相关产品生产单位执行团体标准。</w:t>
            </w:r>
          </w:p>
        </w:tc>
        <w:tc>
          <w:tcPr>
            <w:tcW w:w="25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Style w:val="7"/>
                <w:rFonts w:hint="eastAsia" w:ascii="宋体" w:hAnsi="宋体" w:eastAsia="宋体" w:cs="宋体"/>
                <w:b/>
                <w:sz w:val="24"/>
                <w:szCs w:val="24"/>
              </w:rPr>
              <w:t>1.审核材料：</w:t>
            </w:r>
            <w:r>
              <w:rPr>
                <w:rFonts w:hint="eastAsia" w:ascii="宋体" w:hAnsi="宋体" w:eastAsia="宋体" w:cs="宋体"/>
                <w:sz w:val="24"/>
                <w:szCs w:val="24"/>
              </w:rPr>
              <w:t>机制文件，发现解决行业共性隐患问题清单和措施内容证实材料，团体标准等。</w:t>
            </w:r>
          </w:p>
          <w:p>
            <w:pPr>
              <w:pStyle w:val="5"/>
              <w:keepNext w:val="0"/>
              <w:keepLines w:val="0"/>
              <w:widowControl/>
              <w:suppressLineNumbers w:val="0"/>
              <w:spacing w:line="375" w:lineRule="atLeast"/>
            </w:pPr>
            <w:r>
              <w:rPr>
                <w:rStyle w:val="7"/>
                <w:rFonts w:hint="eastAsia" w:ascii="宋体" w:hAnsi="宋体" w:eastAsia="宋体" w:cs="宋体"/>
                <w:b/>
                <w:sz w:val="24"/>
                <w:szCs w:val="24"/>
              </w:rPr>
              <w:t>2.检查点位。</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食品行业协会</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食品生产处、流通处、餐饮处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415" w:hRule="atLeast"/>
        </w:trPr>
        <w:tc>
          <w:tcPr>
            <w:tcW w:w="9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（四十六）加强消费者权益保护</w:t>
            </w:r>
          </w:p>
        </w:tc>
        <w:tc>
          <w:tcPr>
            <w:tcW w:w="7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鼓励项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118.鼓励地方出台措施，对事实清楚、权利义务关系明确、争议不大的食品安全案件，适用简易民事诉讼程序或者其他方式支持消费者追偿；当地消费者组织对较大食品安全案件，通过公益诉讼渠道追偿。</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（1）出台措施，对事实清楚、权利义务关系明确、争议不大的食品安全案件，适用简易民事诉讼程序或者其他方式支持消费者追偿的有关政策要求予以明确。</w:t>
            </w:r>
          </w:p>
          <w:p>
            <w:pPr>
              <w:pStyle w:val="5"/>
              <w:keepNext w:val="0"/>
              <w:keepLines w:val="0"/>
              <w:widowControl/>
              <w:suppressLineNumbers w:val="0"/>
              <w:spacing w:line="405" w:lineRule="atLeast"/>
            </w:pPr>
            <w:r>
              <w:rPr>
                <w:rFonts w:hint="eastAsia" w:ascii="宋体" w:hAnsi="宋体" w:eastAsia="宋体" w:cs="宋体"/>
                <w:sz w:val="24"/>
                <w:szCs w:val="24"/>
              </w:rPr>
              <w:t>（2）掌握全市总体情况和各个县区基层的具体情况。</w:t>
            </w:r>
          </w:p>
        </w:tc>
        <w:tc>
          <w:tcPr>
            <w:tcW w:w="25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1.审核材料：相关证明材料等。</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市市场局（市消协）、市检察院</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市场监管中心（市消协）</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415"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（四十七）食品安全风险交流及时有效</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119.风险交流机制健全，按照科学、客观、及时、公开的原则，定期组织食品生产经营者、食品检验机构、认证机构、食品行业协会、消费者协会以及新闻媒体等，进行交流沟通。</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（1）市级食品安全监管部门单独或联合建立健全风险交流机制。</w:t>
            </w:r>
          </w:p>
          <w:p>
            <w:pPr>
              <w:pStyle w:val="5"/>
              <w:keepNext w:val="0"/>
              <w:keepLines w:val="0"/>
              <w:widowControl/>
              <w:suppressLineNumbers w:val="0"/>
              <w:spacing w:line="405" w:lineRule="atLeast"/>
            </w:pPr>
            <w:r>
              <w:rPr>
                <w:rFonts w:hint="eastAsia" w:ascii="宋体" w:hAnsi="宋体" w:eastAsia="宋体" w:cs="宋体"/>
                <w:sz w:val="24"/>
                <w:szCs w:val="24"/>
              </w:rPr>
              <w:t>（2）市级食药部门每年至少单独或联合组织2次风险交流活动，根据风险情况和工作实际，需要邀请食品生产经营者、食品检验机构、认证机构、食品行业协会、消费者协会以及新闻媒体等参加的，应邀请参加。</w:t>
            </w:r>
          </w:p>
          <w:p>
            <w:pPr>
              <w:pStyle w:val="5"/>
              <w:keepNext w:val="0"/>
              <w:keepLines w:val="0"/>
              <w:widowControl/>
              <w:suppressLineNumbers w:val="0"/>
              <w:spacing w:line="405" w:lineRule="atLeast"/>
            </w:pPr>
            <w:r>
              <w:rPr>
                <w:rFonts w:hint="eastAsia" w:ascii="宋体" w:hAnsi="宋体" w:eastAsia="宋体" w:cs="宋体"/>
                <w:sz w:val="24"/>
                <w:szCs w:val="24"/>
              </w:rPr>
              <w:t>（3）向社会公众开展食品安全风险交流。</w:t>
            </w:r>
          </w:p>
          <w:p>
            <w:pPr>
              <w:pStyle w:val="5"/>
              <w:keepNext w:val="0"/>
              <w:keepLines w:val="0"/>
              <w:widowControl/>
              <w:suppressLineNumbers w:val="0"/>
              <w:spacing w:line="405" w:lineRule="atLeast"/>
            </w:pPr>
            <w:r>
              <w:rPr>
                <w:rFonts w:hint="eastAsia" w:ascii="宋体" w:hAnsi="宋体" w:eastAsia="宋体" w:cs="宋体"/>
                <w:sz w:val="24"/>
                <w:szCs w:val="24"/>
              </w:rPr>
              <w:t>（4）掌握市本级情况和各个县区基层的具体情况。</w:t>
            </w:r>
          </w:p>
        </w:tc>
        <w:tc>
          <w:tcPr>
            <w:tcW w:w="25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机制文件、会议纪要、影音素材、公示截图等证实材料。</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市市场监管、农业、渔业、畜牧、卫健等部门</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食品抽检处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2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120.将食品安全纳入公民法制和科学普及、职业技能和学生课堂教育。</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（2）将食品安全法律法规普及工作纳入部门年度普法计划，布置开展法律法规普及工作。</w:t>
            </w:r>
          </w:p>
        </w:tc>
        <w:tc>
          <w:tcPr>
            <w:tcW w:w="25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普法计划，普法活动总结、影音记录等证实材料。</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pacing w:val="-15"/>
                <w:sz w:val="24"/>
                <w:szCs w:val="24"/>
              </w:rPr>
              <w:t>市县市场监管、农业、渔业、畜牧等食品安全监管部门、教育部门，科协，职业教育学校、中小学校</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法规处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2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121.建立新闻发言人制度，定期召开新闻发布会、新闻通气会，主动发布权威信息，及时解疑释惑。</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375" w:lineRule="atLeast"/>
            </w:pPr>
            <w:r>
              <w:rPr>
                <w:rFonts w:hint="eastAsia" w:ascii="宋体" w:hAnsi="宋体" w:eastAsia="宋体" w:cs="宋体"/>
                <w:sz w:val="24"/>
                <w:szCs w:val="24"/>
              </w:rPr>
              <w:t>（2）市、县级市场监管部门全部建立新闻发言人制度，每年单独或联合召开新闻发布会（或新闻通气会、记者招待会）不少于2次。</w:t>
            </w:r>
          </w:p>
        </w:tc>
        <w:tc>
          <w:tcPr>
            <w:tcW w:w="25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制度文件，发布会/通气会等影音记录</w:t>
            </w:r>
          </w:p>
        </w:tc>
        <w:tc>
          <w:tcPr>
            <w:tcW w:w="19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市县市场监管、农业、渔业、畜牧、卫健等部门</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70" w:hRule="atLeast"/>
        </w:trPr>
        <w:tc>
          <w:tcPr>
            <w:tcW w:w="974"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（四十八）公众食品安全素养较高</w:t>
            </w:r>
          </w:p>
        </w:tc>
        <w:tc>
          <w:tcPr>
            <w:tcW w:w="79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ind w:left="120" w:right="120"/>
              <w:jc w:val="center"/>
            </w:pPr>
            <w:r>
              <w:rPr>
                <w:rFonts w:hint="eastAsia" w:ascii="宋体" w:hAnsi="宋体" w:eastAsia="宋体" w:cs="宋体"/>
                <w:spacing w:val="15"/>
                <w:sz w:val="24"/>
                <w:szCs w:val="24"/>
              </w:rPr>
              <w:t>基本项</w:t>
            </w: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122.各级政府应当加强食品安全宣传教育，普及食品安全法律、法规、标准和知识，倡导健康的饮食方式，增强消费者食品安全意识和自我保护能力。</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（1）掌握全市总体情况和各个县区基层的具体情况。</w:t>
            </w:r>
          </w:p>
          <w:p>
            <w:pPr>
              <w:pStyle w:val="5"/>
              <w:keepNext w:val="0"/>
              <w:keepLines w:val="0"/>
              <w:widowControl/>
              <w:suppressLineNumbers w:val="0"/>
              <w:spacing w:line="405" w:lineRule="atLeast"/>
            </w:pPr>
            <w:r>
              <w:rPr>
                <w:rFonts w:hint="eastAsia" w:ascii="宋体" w:hAnsi="宋体" w:eastAsia="宋体" w:cs="宋体"/>
                <w:sz w:val="24"/>
                <w:szCs w:val="24"/>
              </w:rPr>
              <w:t>（2）市县级市场监管部门组织开展食品安全宣传活动。</w:t>
            </w:r>
          </w:p>
          <w:p>
            <w:pPr>
              <w:pStyle w:val="5"/>
              <w:keepNext w:val="0"/>
              <w:keepLines w:val="0"/>
              <w:widowControl/>
              <w:suppressLineNumbers w:val="0"/>
              <w:spacing w:line="405" w:lineRule="atLeast"/>
            </w:pPr>
            <w:r>
              <w:rPr>
                <w:rFonts w:hint="eastAsia" w:ascii="宋体" w:hAnsi="宋体" w:eastAsia="宋体" w:cs="宋体"/>
                <w:sz w:val="24"/>
                <w:szCs w:val="24"/>
              </w:rPr>
              <w:t>（3）按“五有四好标准”开展社区食品药品科普宣传站建设，至少在全市20%的社区建站。</w:t>
            </w:r>
          </w:p>
        </w:tc>
        <w:tc>
          <w:tcPr>
            <w:tcW w:w="255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Style w:val="7"/>
                <w:rFonts w:hint="eastAsia" w:ascii="宋体" w:hAnsi="宋体" w:eastAsia="宋体" w:cs="宋体"/>
                <w:b/>
                <w:sz w:val="24"/>
                <w:szCs w:val="24"/>
              </w:rPr>
              <w:t>审核材料：</w:t>
            </w:r>
            <w:r>
              <w:rPr>
                <w:rFonts w:hint="eastAsia" w:ascii="宋体" w:hAnsi="宋体" w:eastAsia="宋体" w:cs="宋体"/>
                <w:sz w:val="24"/>
                <w:szCs w:val="24"/>
              </w:rPr>
              <w:t>宣传活动方案、总结、影音记录等证实材料，科普宣传站统计明细，第三方机构开展调查的方案、报告、调查问卷等。</w:t>
            </w:r>
          </w:p>
        </w:tc>
        <w:tc>
          <w:tcPr>
            <w:tcW w:w="19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405" w:lineRule="atLeast"/>
            </w:pPr>
            <w:r>
              <w:rPr>
                <w:rFonts w:hint="eastAsia" w:ascii="宋体" w:hAnsi="宋体" w:eastAsia="宋体" w:cs="宋体"/>
                <w:sz w:val="24"/>
                <w:szCs w:val="24"/>
              </w:rPr>
              <w:t>市县市场监管、农业、渔业、畜牧、卫健、公安等部门</w:t>
            </w: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新闻宣传处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425" w:hRule="atLeast"/>
        </w:trPr>
        <w:tc>
          <w:tcPr>
            <w:tcW w:w="974"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2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123.社会公众和学生食品安全知识知晓率、行为形成率逐年提高。</w:t>
            </w:r>
          </w:p>
        </w:tc>
        <w:tc>
          <w:tcPr>
            <w:tcW w:w="793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spacing w:line="375" w:lineRule="atLeast"/>
            </w:pPr>
            <w:r>
              <w:rPr>
                <w:rFonts w:hint="eastAsia" w:ascii="宋体" w:hAnsi="宋体" w:eastAsia="宋体" w:cs="宋体"/>
                <w:sz w:val="24"/>
                <w:szCs w:val="24"/>
              </w:rPr>
              <w:t>（1）市食安办委托第三方开展社会公众和学生对食品安全知识知晓率调查工作并掌握本底情况，知识知晓率逐年提高且提高幅度不低于5%。</w:t>
            </w:r>
          </w:p>
          <w:p>
            <w:pPr>
              <w:pStyle w:val="5"/>
              <w:keepNext w:val="0"/>
              <w:keepLines w:val="0"/>
              <w:widowControl/>
              <w:suppressLineNumbers w:val="0"/>
              <w:spacing w:line="375" w:lineRule="atLeast"/>
            </w:pPr>
            <w:r>
              <w:rPr>
                <w:rFonts w:hint="eastAsia" w:ascii="宋体" w:hAnsi="宋体" w:eastAsia="宋体" w:cs="宋体"/>
                <w:sz w:val="24"/>
                <w:szCs w:val="24"/>
              </w:rPr>
              <w:t>（2）市食安办委托第三方开展社会公众和学生对食品安全行为形成率调查工作并掌握本底情况，行为形成率逐年提高且提高幅度不低于5%。</w:t>
            </w:r>
          </w:p>
        </w:tc>
        <w:tc>
          <w:tcPr>
            <w:tcW w:w="255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9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color="auto" w:fill="auto"/>
            <w:tcMar>
              <w:left w:w="105" w:type="dxa"/>
              <w:right w:w="105" w:type="dxa"/>
            </w:tcMar>
            <w:vAlign w:val="top"/>
          </w:tcPr>
          <w:p>
            <w:pPr>
              <w:pStyle w:val="5"/>
              <w:keepNext w:val="0"/>
              <w:keepLines w:val="0"/>
              <w:widowControl/>
              <w:suppressLineNumbers w:val="0"/>
              <w:spacing w:line="405" w:lineRule="atLeast"/>
            </w:pPr>
            <w:r>
              <w:rPr>
                <w:rFonts w:hint="eastAsia" w:ascii="宋体" w:hAnsi="宋体" w:eastAsia="宋体" w:cs="宋体"/>
                <w:sz w:val="24"/>
                <w:szCs w:val="24"/>
              </w:rPr>
              <w:t>食品协调处</w:t>
            </w:r>
          </w:p>
        </w:tc>
        <w:tc>
          <w:tcPr>
            <w:tcW w:w="127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jc w:val="left"/>
            </w:pPr>
          </w:p>
        </w:tc>
      </w:tr>
    </w:tbl>
    <w:p>
      <w:pPr>
        <w:pStyle w:val="5"/>
        <w:keepNext w:val="0"/>
        <w:keepLines w:val="0"/>
        <w:widowControl/>
        <w:suppressLineNumbers w:val="0"/>
      </w:pPr>
    </w:p>
    <w:sectPr>
      <w:footerReference r:id="rId3" w:type="default"/>
      <w:pgSz w:w="23811" w:h="16838" w:orient="landscape"/>
      <w:pgMar w:top="1134" w:right="851" w:bottom="1134" w:left="851"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4709"/>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20 -</w:t>
        </w:r>
        <w:r>
          <w:fldChar w:fldCharType="end"/>
        </w:r>
      </w:p>
    </w:sdtContent>
  </w:sdt>
  <w:p>
    <w:pPr>
      <w:pStyle w:val="3"/>
      <w:jc w:val="center"/>
      <w:rPr>
        <w:rFonts w:ascii="宋体" w:hAnsi="宋体" w:eastAsia="宋体"/>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2D7E"/>
    <w:rsid w:val="000043A3"/>
    <w:rsid w:val="000043FC"/>
    <w:rsid w:val="0000659C"/>
    <w:rsid w:val="0001131A"/>
    <w:rsid w:val="000115FF"/>
    <w:rsid w:val="00013F12"/>
    <w:rsid w:val="00016621"/>
    <w:rsid w:val="000205FA"/>
    <w:rsid w:val="00021C73"/>
    <w:rsid w:val="000224C9"/>
    <w:rsid w:val="00026F80"/>
    <w:rsid w:val="00033D2B"/>
    <w:rsid w:val="00035FB5"/>
    <w:rsid w:val="00036CD5"/>
    <w:rsid w:val="00043106"/>
    <w:rsid w:val="00043253"/>
    <w:rsid w:val="000475A5"/>
    <w:rsid w:val="000522C1"/>
    <w:rsid w:val="00052769"/>
    <w:rsid w:val="00054D65"/>
    <w:rsid w:val="00055FD0"/>
    <w:rsid w:val="00063996"/>
    <w:rsid w:val="0006580B"/>
    <w:rsid w:val="0006630A"/>
    <w:rsid w:val="00066F88"/>
    <w:rsid w:val="00073BF3"/>
    <w:rsid w:val="000823A4"/>
    <w:rsid w:val="00083768"/>
    <w:rsid w:val="00087D12"/>
    <w:rsid w:val="000913E7"/>
    <w:rsid w:val="00093D19"/>
    <w:rsid w:val="000960E5"/>
    <w:rsid w:val="000A0203"/>
    <w:rsid w:val="000A33A4"/>
    <w:rsid w:val="000A3B3D"/>
    <w:rsid w:val="000A49F4"/>
    <w:rsid w:val="000A64B9"/>
    <w:rsid w:val="000B06CB"/>
    <w:rsid w:val="000B4DE5"/>
    <w:rsid w:val="000B5A9E"/>
    <w:rsid w:val="000B5EA1"/>
    <w:rsid w:val="000C0752"/>
    <w:rsid w:val="000C2FF2"/>
    <w:rsid w:val="000C36E9"/>
    <w:rsid w:val="000C5229"/>
    <w:rsid w:val="000C5E27"/>
    <w:rsid w:val="000C62CD"/>
    <w:rsid w:val="000D230E"/>
    <w:rsid w:val="000D33BB"/>
    <w:rsid w:val="000D4E5D"/>
    <w:rsid w:val="000E0A48"/>
    <w:rsid w:val="000E4016"/>
    <w:rsid w:val="000E58F9"/>
    <w:rsid w:val="000E5E93"/>
    <w:rsid w:val="000E7A95"/>
    <w:rsid w:val="000F1972"/>
    <w:rsid w:val="000F38E3"/>
    <w:rsid w:val="000F3C08"/>
    <w:rsid w:val="000F6AF4"/>
    <w:rsid w:val="001031B0"/>
    <w:rsid w:val="00106156"/>
    <w:rsid w:val="001114A7"/>
    <w:rsid w:val="001172C8"/>
    <w:rsid w:val="0012381D"/>
    <w:rsid w:val="00135798"/>
    <w:rsid w:val="001360DE"/>
    <w:rsid w:val="001444B9"/>
    <w:rsid w:val="00144B8E"/>
    <w:rsid w:val="0015494A"/>
    <w:rsid w:val="0015661F"/>
    <w:rsid w:val="00157BA4"/>
    <w:rsid w:val="00160115"/>
    <w:rsid w:val="00165E93"/>
    <w:rsid w:val="00166E9D"/>
    <w:rsid w:val="001679AE"/>
    <w:rsid w:val="00172C68"/>
    <w:rsid w:val="00175BC1"/>
    <w:rsid w:val="00176355"/>
    <w:rsid w:val="00177BCF"/>
    <w:rsid w:val="00183EE1"/>
    <w:rsid w:val="001905CF"/>
    <w:rsid w:val="001905E6"/>
    <w:rsid w:val="0019499A"/>
    <w:rsid w:val="00197D04"/>
    <w:rsid w:val="001A233D"/>
    <w:rsid w:val="001A2706"/>
    <w:rsid w:val="001A31EF"/>
    <w:rsid w:val="001A6A75"/>
    <w:rsid w:val="001B0212"/>
    <w:rsid w:val="001B4F05"/>
    <w:rsid w:val="001B7FEF"/>
    <w:rsid w:val="001C2650"/>
    <w:rsid w:val="001C41E2"/>
    <w:rsid w:val="001C4A9F"/>
    <w:rsid w:val="001D157F"/>
    <w:rsid w:val="001D2725"/>
    <w:rsid w:val="001D6EEE"/>
    <w:rsid w:val="001E2405"/>
    <w:rsid w:val="001E635A"/>
    <w:rsid w:val="001F406E"/>
    <w:rsid w:val="001F4A24"/>
    <w:rsid w:val="00205632"/>
    <w:rsid w:val="00215946"/>
    <w:rsid w:val="0022088A"/>
    <w:rsid w:val="00222038"/>
    <w:rsid w:val="00222674"/>
    <w:rsid w:val="00223F4B"/>
    <w:rsid w:val="00231ED5"/>
    <w:rsid w:val="00232051"/>
    <w:rsid w:val="00235035"/>
    <w:rsid w:val="00245B34"/>
    <w:rsid w:val="00245C13"/>
    <w:rsid w:val="002469F5"/>
    <w:rsid w:val="002472EB"/>
    <w:rsid w:val="002519D3"/>
    <w:rsid w:val="00257648"/>
    <w:rsid w:val="002647C0"/>
    <w:rsid w:val="00264A36"/>
    <w:rsid w:val="00265F2F"/>
    <w:rsid w:val="0028037E"/>
    <w:rsid w:val="002807B1"/>
    <w:rsid w:val="002849B9"/>
    <w:rsid w:val="00293C80"/>
    <w:rsid w:val="00293CB6"/>
    <w:rsid w:val="002A3D9E"/>
    <w:rsid w:val="002A48BB"/>
    <w:rsid w:val="002B5BF1"/>
    <w:rsid w:val="002B5F4C"/>
    <w:rsid w:val="002C5441"/>
    <w:rsid w:val="002D568D"/>
    <w:rsid w:val="002E3337"/>
    <w:rsid w:val="002E4360"/>
    <w:rsid w:val="002E5469"/>
    <w:rsid w:val="002E5875"/>
    <w:rsid w:val="002E5E6E"/>
    <w:rsid w:val="002F53EA"/>
    <w:rsid w:val="002F69D1"/>
    <w:rsid w:val="002F7512"/>
    <w:rsid w:val="00300CAD"/>
    <w:rsid w:val="00302BA1"/>
    <w:rsid w:val="003049F1"/>
    <w:rsid w:val="00311686"/>
    <w:rsid w:val="003134B3"/>
    <w:rsid w:val="0031417E"/>
    <w:rsid w:val="00330617"/>
    <w:rsid w:val="00331A06"/>
    <w:rsid w:val="003332C3"/>
    <w:rsid w:val="00337C57"/>
    <w:rsid w:val="003412EF"/>
    <w:rsid w:val="003418DC"/>
    <w:rsid w:val="00350FD8"/>
    <w:rsid w:val="00361D68"/>
    <w:rsid w:val="00363D9A"/>
    <w:rsid w:val="00363F62"/>
    <w:rsid w:val="00366507"/>
    <w:rsid w:val="00373DE5"/>
    <w:rsid w:val="003760F3"/>
    <w:rsid w:val="00382B36"/>
    <w:rsid w:val="003849CD"/>
    <w:rsid w:val="00384E26"/>
    <w:rsid w:val="0039479A"/>
    <w:rsid w:val="003A0A44"/>
    <w:rsid w:val="003A6E7B"/>
    <w:rsid w:val="003B0162"/>
    <w:rsid w:val="003B4198"/>
    <w:rsid w:val="003B6DED"/>
    <w:rsid w:val="003B75B9"/>
    <w:rsid w:val="003C3B9B"/>
    <w:rsid w:val="003C79F1"/>
    <w:rsid w:val="003D0753"/>
    <w:rsid w:val="003D0E94"/>
    <w:rsid w:val="003D39CB"/>
    <w:rsid w:val="003D4535"/>
    <w:rsid w:val="003E0044"/>
    <w:rsid w:val="003E4DDC"/>
    <w:rsid w:val="003F0DB0"/>
    <w:rsid w:val="003F1F6E"/>
    <w:rsid w:val="003F523C"/>
    <w:rsid w:val="00401DA8"/>
    <w:rsid w:val="0040370E"/>
    <w:rsid w:val="004126AA"/>
    <w:rsid w:val="00414882"/>
    <w:rsid w:val="00420585"/>
    <w:rsid w:val="00423CEA"/>
    <w:rsid w:val="00427F95"/>
    <w:rsid w:val="004327CF"/>
    <w:rsid w:val="004418CE"/>
    <w:rsid w:val="00442774"/>
    <w:rsid w:val="0045451A"/>
    <w:rsid w:val="004561EE"/>
    <w:rsid w:val="00461A78"/>
    <w:rsid w:val="00465A5F"/>
    <w:rsid w:val="00467665"/>
    <w:rsid w:val="004676B4"/>
    <w:rsid w:val="00474D74"/>
    <w:rsid w:val="00490293"/>
    <w:rsid w:val="00492FC5"/>
    <w:rsid w:val="0049315C"/>
    <w:rsid w:val="004A1821"/>
    <w:rsid w:val="004B2633"/>
    <w:rsid w:val="004B28EA"/>
    <w:rsid w:val="004B2CC2"/>
    <w:rsid w:val="004B7789"/>
    <w:rsid w:val="004C0955"/>
    <w:rsid w:val="004C0D5A"/>
    <w:rsid w:val="004C12B7"/>
    <w:rsid w:val="004C50DC"/>
    <w:rsid w:val="004D15DB"/>
    <w:rsid w:val="004D173E"/>
    <w:rsid w:val="004D4622"/>
    <w:rsid w:val="004D4C53"/>
    <w:rsid w:val="004D658E"/>
    <w:rsid w:val="004D737C"/>
    <w:rsid w:val="004E691D"/>
    <w:rsid w:val="004E7130"/>
    <w:rsid w:val="004F063C"/>
    <w:rsid w:val="004F21CF"/>
    <w:rsid w:val="004F3C31"/>
    <w:rsid w:val="00503642"/>
    <w:rsid w:val="00511E16"/>
    <w:rsid w:val="00514FD9"/>
    <w:rsid w:val="00525227"/>
    <w:rsid w:val="00525762"/>
    <w:rsid w:val="00527FDC"/>
    <w:rsid w:val="00533A4B"/>
    <w:rsid w:val="00541215"/>
    <w:rsid w:val="00542D09"/>
    <w:rsid w:val="005515A5"/>
    <w:rsid w:val="00553243"/>
    <w:rsid w:val="00555AD2"/>
    <w:rsid w:val="00567577"/>
    <w:rsid w:val="00573F59"/>
    <w:rsid w:val="00581ABE"/>
    <w:rsid w:val="00585BCA"/>
    <w:rsid w:val="005936BA"/>
    <w:rsid w:val="005A4A3F"/>
    <w:rsid w:val="005A59E1"/>
    <w:rsid w:val="005A6CEA"/>
    <w:rsid w:val="005B386E"/>
    <w:rsid w:val="005B3BB9"/>
    <w:rsid w:val="005B68C1"/>
    <w:rsid w:val="005B6CB5"/>
    <w:rsid w:val="005C5B46"/>
    <w:rsid w:val="005C7947"/>
    <w:rsid w:val="005D1B64"/>
    <w:rsid w:val="005D26B6"/>
    <w:rsid w:val="005D52F6"/>
    <w:rsid w:val="005D7BD0"/>
    <w:rsid w:val="005E37AC"/>
    <w:rsid w:val="005F4C62"/>
    <w:rsid w:val="005F5248"/>
    <w:rsid w:val="005F529A"/>
    <w:rsid w:val="00604031"/>
    <w:rsid w:val="00610734"/>
    <w:rsid w:val="00614EF0"/>
    <w:rsid w:val="00614F55"/>
    <w:rsid w:val="00615AA4"/>
    <w:rsid w:val="006243A4"/>
    <w:rsid w:val="00624DFE"/>
    <w:rsid w:val="00626758"/>
    <w:rsid w:val="006314FC"/>
    <w:rsid w:val="0063627B"/>
    <w:rsid w:val="006366D1"/>
    <w:rsid w:val="00641103"/>
    <w:rsid w:val="00644536"/>
    <w:rsid w:val="00645B96"/>
    <w:rsid w:val="00653139"/>
    <w:rsid w:val="00654992"/>
    <w:rsid w:val="00655933"/>
    <w:rsid w:val="00665DA2"/>
    <w:rsid w:val="006733A0"/>
    <w:rsid w:val="00674FD2"/>
    <w:rsid w:val="00691E4A"/>
    <w:rsid w:val="00693D85"/>
    <w:rsid w:val="00697010"/>
    <w:rsid w:val="0069744A"/>
    <w:rsid w:val="006A2E9C"/>
    <w:rsid w:val="006A3799"/>
    <w:rsid w:val="006A6FA4"/>
    <w:rsid w:val="006B039E"/>
    <w:rsid w:val="006B421F"/>
    <w:rsid w:val="006B4AB2"/>
    <w:rsid w:val="006C2243"/>
    <w:rsid w:val="006C2291"/>
    <w:rsid w:val="006C2C28"/>
    <w:rsid w:val="006D3072"/>
    <w:rsid w:val="006D6564"/>
    <w:rsid w:val="006E775C"/>
    <w:rsid w:val="006F60BF"/>
    <w:rsid w:val="0070102E"/>
    <w:rsid w:val="007100E7"/>
    <w:rsid w:val="007120F4"/>
    <w:rsid w:val="007123B9"/>
    <w:rsid w:val="00713C5F"/>
    <w:rsid w:val="0071572D"/>
    <w:rsid w:val="00717D63"/>
    <w:rsid w:val="0072285C"/>
    <w:rsid w:val="00723C76"/>
    <w:rsid w:val="00726B40"/>
    <w:rsid w:val="00727091"/>
    <w:rsid w:val="007307B4"/>
    <w:rsid w:val="00730D2A"/>
    <w:rsid w:val="00734BF6"/>
    <w:rsid w:val="00737DEE"/>
    <w:rsid w:val="007445AF"/>
    <w:rsid w:val="007462CD"/>
    <w:rsid w:val="00746647"/>
    <w:rsid w:val="00757D34"/>
    <w:rsid w:val="00757FCC"/>
    <w:rsid w:val="00780A46"/>
    <w:rsid w:val="00780B0E"/>
    <w:rsid w:val="00780B17"/>
    <w:rsid w:val="00790811"/>
    <w:rsid w:val="0079084B"/>
    <w:rsid w:val="00790A53"/>
    <w:rsid w:val="007938C1"/>
    <w:rsid w:val="007A06FF"/>
    <w:rsid w:val="007A0F58"/>
    <w:rsid w:val="007A10C6"/>
    <w:rsid w:val="007A233B"/>
    <w:rsid w:val="007A2643"/>
    <w:rsid w:val="007A4EAA"/>
    <w:rsid w:val="007A50BA"/>
    <w:rsid w:val="007A6398"/>
    <w:rsid w:val="007A7E36"/>
    <w:rsid w:val="007B0D8E"/>
    <w:rsid w:val="007B16F3"/>
    <w:rsid w:val="007B27DA"/>
    <w:rsid w:val="007B475E"/>
    <w:rsid w:val="007B4CA2"/>
    <w:rsid w:val="007B7394"/>
    <w:rsid w:val="007C1DC4"/>
    <w:rsid w:val="007C606C"/>
    <w:rsid w:val="007D23F4"/>
    <w:rsid w:val="007D2A3E"/>
    <w:rsid w:val="007D6906"/>
    <w:rsid w:val="007E070E"/>
    <w:rsid w:val="007E30A3"/>
    <w:rsid w:val="007E42B6"/>
    <w:rsid w:val="007E658E"/>
    <w:rsid w:val="007E72B9"/>
    <w:rsid w:val="008011C1"/>
    <w:rsid w:val="00803C6B"/>
    <w:rsid w:val="00806567"/>
    <w:rsid w:val="00810C78"/>
    <w:rsid w:val="00811CFE"/>
    <w:rsid w:val="00812EEC"/>
    <w:rsid w:val="00813AA2"/>
    <w:rsid w:val="00820E38"/>
    <w:rsid w:val="0082249F"/>
    <w:rsid w:val="008228C9"/>
    <w:rsid w:val="00830194"/>
    <w:rsid w:val="00834615"/>
    <w:rsid w:val="00844512"/>
    <w:rsid w:val="008446C7"/>
    <w:rsid w:val="0084547F"/>
    <w:rsid w:val="0085242B"/>
    <w:rsid w:val="00866DC9"/>
    <w:rsid w:val="00867EB0"/>
    <w:rsid w:val="008728EC"/>
    <w:rsid w:val="00872A8B"/>
    <w:rsid w:val="008732B0"/>
    <w:rsid w:val="0087726E"/>
    <w:rsid w:val="00882473"/>
    <w:rsid w:val="00882D88"/>
    <w:rsid w:val="008860C1"/>
    <w:rsid w:val="0089505F"/>
    <w:rsid w:val="008A017E"/>
    <w:rsid w:val="008A1CE1"/>
    <w:rsid w:val="008A1DAC"/>
    <w:rsid w:val="008A1ECF"/>
    <w:rsid w:val="008A410C"/>
    <w:rsid w:val="008C32B2"/>
    <w:rsid w:val="008C7A53"/>
    <w:rsid w:val="008D70EC"/>
    <w:rsid w:val="008D7204"/>
    <w:rsid w:val="008E1E68"/>
    <w:rsid w:val="008E2797"/>
    <w:rsid w:val="008E33D7"/>
    <w:rsid w:val="008E6007"/>
    <w:rsid w:val="008F159F"/>
    <w:rsid w:val="008F49BF"/>
    <w:rsid w:val="009038B2"/>
    <w:rsid w:val="00910EA2"/>
    <w:rsid w:val="0091380A"/>
    <w:rsid w:val="0091560B"/>
    <w:rsid w:val="00921137"/>
    <w:rsid w:val="00922DC6"/>
    <w:rsid w:val="00922E63"/>
    <w:rsid w:val="00923EC3"/>
    <w:rsid w:val="0092515E"/>
    <w:rsid w:val="00931405"/>
    <w:rsid w:val="009407E7"/>
    <w:rsid w:val="00942650"/>
    <w:rsid w:val="00946406"/>
    <w:rsid w:val="009476C0"/>
    <w:rsid w:val="00950C06"/>
    <w:rsid w:val="0095433C"/>
    <w:rsid w:val="009561F1"/>
    <w:rsid w:val="009631DB"/>
    <w:rsid w:val="00964194"/>
    <w:rsid w:val="009679B8"/>
    <w:rsid w:val="00967BD8"/>
    <w:rsid w:val="00970698"/>
    <w:rsid w:val="00973B39"/>
    <w:rsid w:val="009749AD"/>
    <w:rsid w:val="00974C0C"/>
    <w:rsid w:val="00974DB6"/>
    <w:rsid w:val="009754EB"/>
    <w:rsid w:val="009830E6"/>
    <w:rsid w:val="0099342B"/>
    <w:rsid w:val="009A07F6"/>
    <w:rsid w:val="009A6400"/>
    <w:rsid w:val="009B1F1F"/>
    <w:rsid w:val="009B39CD"/>
    <w:rsid w:val="009B4A0C"/>
    <w:rsid w:val="009B5909"/>
    <w:rsid w:val="009B66A8"/>
    <w:rsid w:val="009C492A"/>
    <w:rsid w:val="009C521D"/>
    <w:rsid w:val="009D0698"/>
    <w:rsid w:val="009D0E23"/>
    <w:rsid w:val="009D69C6"/>
    <w:rsid w:val="009E3173"/>
    <w:rsid w:val="009F29B3"/>
    <w:rsid w:val="009F4326"/>
    <w:rsid w:val="009F6B21"/>
    <w:rsid w:val="009F75C4"/>
    <w:rsid w:val="00A00B43"/>
    <w:rsid w:val="00A07FC9"/>
    <w:rsid w:val="00A10A05"/>
    <w:rsid w:val="00A1526C"/>
    <w:rsid w:val="00A16F38"/>
    <w:rsid w:val="00A17E1E"/>
    <w:rsid w:val="00A21795"/>
    <w:rsid w:val="00A22B8E"/>
    <w:rsid w:val="00A273CC"/>
    <w:rsid w:val="00A30013"/>
    <w:rsid w:val="00A34F24"/>
    <w:rsid w:val="00A5035C"/>
    <w:rsid w:val="00A51141"/>
    <w:rsid w:val="00A513A8"/>
    <w:rsid w:val="00A516FD"/>
    <w:rsid w:val="00A566E4"/>
    <w:rsid w:val="00A5753B"/>
    <w:rsid w:val="00A66046"/>
    <w:rsid w:val="00A705AB"/>
    <w:rsid w:val="00A731C2"/>
    <w:rsid w:val="00A73234"/>
    <w:rsid w:val="00A76AB5"/>
    <w:rsid w:val="00A775DE"/>
    <w:rsid w:val="00A834CA"/>
    <w:rsid w:val="00A835EC"/>
    <w:rsid w:val="00A84FEC"/>
    <w:rsid w:val="00A85136"/>
    <w:rsid w:val="00A86A88"/>
    <w:rsid w:val="00A90104"/>
    <w:rsid w:val="00A9273D"/>
    <w:rsid w:val="00A92A9D"/>
    <w:rsid w:val="00A94D16"/>
    <w:rsid w:val="00AA15BC"/>
    <w:rsid w:val="00AA215F"/>
    <w:rsid w:val="00AA4C48"/>
    <w:rsid w:val="00AA5146"/>
    <w:rsid w:val="00AB1CDE"/>
    <w:rsid w:val="00AB5EAD"/>
    <w:rsid w:val="00AB6426"/>
    <w:rsid w:val="00AC0B9B"/>
    <w:rsid w:val="00AC59A8"/>
    <w:rsid w:val="00AD1C63"/>
    <w:rsid w:val="00AD6D1D"/>
    <w:rsid w:val="00AE2024"/>
    <w:rsid w:val="00AE3B0E"/>
    <w:rsid w:val="00AE421B"/>
    <w:rsid w:val="00AF1CCC"/>
    <w:rsid w:val="00AF237B"/>
    <w:rsid w:val="00AF4069"/>
    <w:rsid w:val="00AF5A99"/>
    <w:rsid w:val="00AF776E"/>
    <w:rsid w:val="00B03752"/>
    <w:rsid w:val="00B07866"/>
    <w:rsid w:val="00B11C21"/>
    <w:rsid w:val="00B1364F"/>
    <w:rsid w:val="00B1428B"/>
    <w:rsid w:val="00B15C82"/>
    <w:rsid w:val="00B2441E"/>
    <w:rsid w:val="00B251A3"/>
    <w:rsid w:val="00B30B1C"/>
    <w:rsid w:val="00B313B1"/>
    <w:rsid w:val="00B32D7E"/>
    <w:rsid w:val="00B33E50"/>
    <w:rsid w:val="00B34652"/>
    <w:rsid w:val="00B358F7"/>
    <w:rsid w:val="00B403D3"/>
    <w:rsid w:val="00B407A5"/>
    <w:rsid w:val="00B41C9F"/>
    <w:rsid w:val="00B4482E"/>
    <w:rsid w:val="00B5102B"/>
    <w:rsid w:val="00B51195"/>
    <w:rsid w:val="00B544EF"/>
    <w:rsid w:val="00B57424"/>
    <w:rsid w:val="00B64A0F"/>
    <w:rsid w:val="00B66F29"/>
    <w:rsid w:val="00B714DE"/>
    <w:rsid w:val="00B75B78"/>
    <w:rsid w:val="00B75DBB"/>
    <w:rsid w:val="00B75FE8"/>
    <w:rsid w:val="00B76DE7"/>
    <w:rsid w:val="00B81880"/>
    <w:rsid w:val="00B82DB2"/>
    <w:rsid w:val="00B9019E"/>
    <w:rsid w:val="00B92366"/>
    <w:rsid w:val="00B96AEC"/>
    <w:rsid w:val="00BA0642"/>
    <w:rsid w:val="00BA11CE"/>
    <w:rsid w:val="00BA12CF"/>
    <w:rsid w:val="00BA13FC"/>
    <w:rsid w:val="00BA18CD"/>
    <w:rsid w:val="00BA6B8E"/>
    <w:rsid w:val="00BB0604"/>
    <w:rsid w:val="00BB1D17"/>
    <w:rsid w:val="00BB2D77"/>
    <w:rsid w:val="00BB5526"/>
    <w:rsid w:val="00BC0567"/>
    <w:rsid w:val="00BC4975"/>
    <w:rsid w:val="00BC6B53"/>
    <w:rsid w:val="00BD2130"/>
    <w:rsid w:val="00BD4D66"/>
    <w:rsid w:val="00BD5CD0"/>
    <w:rsid w:val="00BD5F73"/>
    <w:rsid w:val="00BE0C04"/>
    <w:rsid w:val="00BE3F69"/>
    <w:rsid w:val="00BE40F5"/>
    <w:rsid w:val="00BE4A80"/>
    <w:rsid w:val="00BE7181"/>
    <w:rsid w:val="00BF2B72"/>
    <w:rsid w:val="00BF38FB"/>
    <w:rsid w:val="00C051CC"/>
    <w:rsid w:val="00C0614F"/>
    <w:rsid w:val="00C14695"/>
    <w:rsid w:val="00C1633F"/>
    <w:rsid w:val="00C16365"/>
    <w:rsid w:val="00C16F77"/>
    <w:rsid w:val="00C25AB3"/>
    <w:rsid w:val="00C2613B"/>
    <w:rsid w:val="00C27040"/>
    <w:rsid w:val="00C27073"/>
    <w:rsid w:val="00C34877"/>
    <w:rsid w:val="00C356CA"/>
    <w:rsid w:val="00C463F3"/>
    <w:rsid w:val="00C4766F"/>
    <w:rsid w:val="00C47D2D"/>
    <w:rsid w:val="00C53EDE"/>
    <w:rsid w:val="00C62EBA"/>
    <w:rsid w:val="00C66308"/>
    <w:rsid w:val="00C67381"/>
    <w:rsid w:val="00C700B7"/>
    <w:rsid w:val="00C81677"/>
    <w:rsid w:val="00C83C8B"/>
    <w:rsid w:val="00C847AC"/>
    <w:rsid w:val="00C9093A"/>
    <w:rsid w:val="00C91086"/>
    <w:rsid w:val="00C94AFB"/>
    <w:rsid w:val="00C95C1E"/>
    <w:rsid w:val="00C96B00"/>
    <w:rsid w:val="00CA2306"/>
    <w:rsid w:val="00CA441E"/>
    <w:rsid w:val="00CA52EC"/>
    <w:rsid w:val="00CA69FC"/>
    <w:rsid w:val="00CB50F3"/>
    <w:rsid w:val="00CB522B"/>
    <w:rsid w:val="00CB68D6"/>
    <w:rsid w:val="00CB7871"/>
    <w:rsid w:val="00CC0494"/>
    <w:rsid w:val="00CC0D6C"/>
    <w:rsid w:val="00CC3783"/>
    <w:rsid w:val="00CC3D5B"/>
    <w:rsid w:val="00CC6F67"/>
    <w:rsid w:val="00CD2209"/>
    <w:rsid w:val="00CD7DDF"/>
    <w:rsid w:val="00CE2D87"/>
    <w:rsid w:val="00CE5D7A"/>
    <w:rsid w:val="00CE60B9"/>
    <w:rsid w:val="00CF079D"/>
    <w:rsid w:val="00D01F50"/>
    <w:rsid w:val="00D02913"/>
    <w:rsid w:val="00D0545E"/>
    <w:rsid w:val="00D075B5"/>
    <w:rsid w:val="00D11700"/>
    <w:rsid w:val="00D13644"/>
    <w:rsid w:val="00D136D1"/>
    <w:rsid w:val="00D20919"/>
    <w:rsid w:val="00D21573"/>
    <w:rsid w:val="00D2302B"/>
    <w:rsid w:val="00D23ED5"/>
    <w:rsid w:val="00D30C51"/>
    <w:rsid w:val="00D31795"/>
    <w:rsid w:val="00D367CD"/>
    <w:rsid w:val="00D410D0"/>
    <w:rsid w:val="00D4183D"/>
    <w:rsid w:val="00D4263D"/>
    <w:rsid w:val="00D44CD0"/>
    <w:rsid w:val="00D51F69"/>
    <w:rsid w:val="00D525CA"/>
    <w:rsid w:val="00D52616"/>
    <w:rsid w:val="00D57433"/>
    <w:rsid w:val="00D57FB7"/>
    <w:rsid w:val="00D61B45"/>
    <w:rsid w:val="00D66ADB"/>
    <w:rsid w:val="00D67366"/>
    <w:rsid w:val="00D72889"/>
    <w:rsid w:val="00D7373E"/>
    <w:rsid w:val="00D85F20"/>
    <w:rsid w:val="00D907F9"/>
    <w:rsid w:val="00D970C5"/>
    <w:rsid w:val="00DA2595"/>
    <w:rsid w:val="00DA299B"/>
    <w:rsid w:val="00DB0C9C"/>
    <w:rsid w:val="00DB470C"/>
    <w:rsid w:val="00DC3292"/>
    <w:rsid w:val="00DD236E"/>
    <w:rsid w:val="00DD50D8"/>
    <w:rsid w:val="00DD67BE"/>
    <w:rsid w:val="00DD686B"/>
    <w:rsid w:val="00DE1E47"/>
    <w:rsid w:val="00DE395E"/>
    <w:rsid w:val="00DE414B"/>
    <w:rsid w:val="00DE6B50"/>
    <w:rsid w:val="00DF4923"/>
    <w:rsid w:val="00E0732B"/>
    <w:rsid w:val="00E1737C"/>
    <w:rsid w:val="00E331A4"/>
    <w:rsid w:val="00E344EB"/>
    <w:rsid w:val="00E36617"/>
    <w:rsid w:val="00E3744E"/>
    <w:rsid w:val="00E403E9"/>
    <w:rsid w:val="00E415F4"/>
    <w:rsid w:val="00E4203C"/>
    <w:rsid w:val="00E53D29"/>
    <w:rsid w:val="00E55049"/>
    <w:rsid w:val="00E55B33"/>
    <w:rsid w:val="00E56F29"/>
    <w:rsid w:val="00E63387"/>
    <w:rsid w:val="00E660AB"/>
    <w:rsid w:val="00E715BA"/>
    <w:rsid w:val="00E716D3"/>
    <w:rsid w:val="00E7555A"/>
    <w:rsid w:val="00E80A16"/>
    <w:rsid w:val="00E863A2"/>
    <w:rsid w:val="00E86EF4"/>
    <w:rsid w:val="00E907A7"/>
    <w:rsid w:val="00E92C77"/>
    <w:rsid w:val="00E94569"/>
    <w:rsid w:val="00E94748"/>
    <w:rsid w:val="00E94C17"/>
    <w:rsid w:val="00EA0147"/>
    <w:rsid w:val="00EA0CFE"/>
    <w:rsid w:val="00EA1E29"/>
    <w:rsid w:val="00EB03C6"/>
    <w:rsid w:val="00EB34C4"/>
    <w:rsid w:val="00EC199D"/>
    <w:rsid w:val="00EC2C19"/>
    <w:rsid w:val="00EC77E6"/>
    <w:rsid w:val="00ED1529"/>
    <w:rsid w:val="00ED18DA"/>
    <w:rsid w:val="00ED227B"/>
    <w:rsid w:val="00EE0B58"/>
    <w:rsid w:val="00EE5468"/>
    <w:rsid w:val="00EE5E54"/>
    <w:rsid w:val="00EF1B66"/>
    <w:rsid w:val="00EF234E"/>
    <w:rsid w:val="00EF730B"/>
    <w:rsid w:val="00F031D7"/>
    <w:rsid w:val="00F0336D"/>
    <w:rsid w:val="00F043C5"/>
    <w:rsid w:val="00F11193"/>
    <w:rsid w:val="00F12E2A"/>
    <w:rsid w:val="00F13076"/>
    <w:rsid w:val="00F14718"/>
    <w:rsid w:val="00F17C53"/>
    <w:rsid w:val="00F2348C"/>
    <w:rsid w:val="00F30459"/>
    <w:rsid w:val="00F30D98"/>
    <w:rsid w:val="00F32115"/>
    <w:rsid w:val="00F33FF3"/>
    <w:rsid w:val="00F3464D"/>
    <w:rsid w:val="00F35007"/>
    <w:rsid w:val="00F40FCE"/>
    <w:rsid w:val="00F41511"/>
    <w:rsid w:val="00F415CB"/>
    <w:rsid w:val="00F41CC5"/>
    <w:rsid w:val="00F453F4"/>
    <w:rsid w:val="00F46624"/>
    <w:rsid w:val="00F52C7C"/>
    <w:rsid w:val="00F53FBA"/>
    <w:rsid w:val="00F6567D"/>
    <w:rsid w:val="00F67156"/>
    <w:rsid w:val="00F706B7"/>
    <w:rsid w:val="00F71999"/>
    <w:rsid w:val="00F71D42"/>
    <w:rsid w:val="00F72CD9"/>
    <w:rsid w:val="00F72FCD"/>
    <w:rsid w:val="00F7755B"/>
    <w:rsid w:val="00F80D59"/>
    <w:rsid w:val="00F8178B"/>
    <w:rsid w:val="00F82161"/>
    <w:rsid w:val="00F849E1"/>
    <w:rsid w:val="00F84B40"/>
    <w:rsid w:val="00F84DB9"/>
    <w:rsid w:val="00F87FF3"/>
    <w:rsid w:val="00F92546"/>
    <w:rsid w:val="00F9602B"/>
    <w:rsid w:val="00F973AE"/>
    <w:rsid w:val="00F97940"/>
    <w:rsid w:val="00FA00FB"/>
    <w:rsid w:val="00FA54D4"/>
    <w:rsid w:val="00FA75B5"/>
    <w:rsid w:val="00FB3CC3"/>
    <w:rsid w:val="00FB5326"/>
    <w:rsid w:val="00FC4ACC"/>
    <w:rsid w:val="00FC5BD4"/>
    <w:rsid w:val="00FC7F3D"/>
    <w:rsid w:val="00FD0567"/>
    <w:rsid w:val="00FE0B26"/>
    <w:rsid w:val="00FE312C"/>
    <w:rsid w:val="00FE440A"/>
    <w:rsid w:val="00FE54A6"/>
    <w:rsid w:val="00FE628B"/>
    <w:rsid w:val="00FF0B6F"/>
    <w:rsid w:val="00FF3A42"/>
    <w:rsid w:val="00FF4708"/>
    <w:rsid w:val="01001CFB"/>
    <w:rsid w:val="010749E3"/>
    <w:rsid w:val="01086E02"/>
    <w:rsid w:val="011A717C"/>
    <w:rsid w:val="011F7D8B"/>
    <w:rsid w:val="013E6FC7"/>
    <w:rsid w:val="01742436"/>
    <w:rsid w:val="01834D64"/>
    <w:rsid w:val="01C60F64"/>
    <w:rsid w:val="01CC5D6D"/>
    <w:rsid w:val="01E06834"/>
    <w:rsid w:val="01E72D7D"/>
    <w:rsid w:val="0223518F"/>
    <w:rsid w:val="02291A96"/>
    <w:rsid w:val="028A7C53"/>
    <w:rsid w:val="02910F35"/>
    <w:rsid w:val="02E62516"/>
    <w:rsid w:val="030853EF"/>
    <w:rsid w:val="030C6244"/>
    <w:rsid w:val="034B1406"/>
    <w:rsid w:val="037754A8"/>
    <w:rsid w:val="03E54F38"/>
    <w:rsid w:val="03FA5A8E"/>
    <w:rsid w:val="03FE2CD8"/>
    <w:rsid w:val="04246CEE"/>
    <w:rsid w:val="04497305"/>
    <w:rsid w:val="045F30CD"/>
    <w:rsid w:val="0466503C"/>
    <w:rsid w:val="047139FD"/>
    <w:rsid w:val="047B1792"/>
    <w:rsid w:val="048C4098"/>
    <w:rsid w:val="049D37BD"/>
    <w:rsid w:val="04A403D8"/>
    <w:rsid w:val="04C43428"/>
    <w:rsid w:val="04D54569"/>
    <w:rsid w:val="04E36FDB"/>
    <w:rsid w:val="04F34930"/>
    <w:rsid w:val="050B4CAA"/>
    <w:rsid w:val="054C29FC"/>
    <w:rsid w:val="05503CD1"/>
    <w:rsid w:val="05973165"/>
    <w:rsid w:val="05B80642"/>
    <w:rsid w:val="05BB5186"/>
    <w:rsid w:val="05E877E0"/>
    <w:rsid w:val="05F4002E"/>
    <w:rsid w:val="06000B6E"/>
    <w:rsid w:val="06240A18"/>
    <w:rsid w:val="06776503"/>
    <w:rsid w:val="06A837A5"/>
    <w:rsid w:val="06F435B0"/>
    <w:rsid w:val="06FF527D"/>
    <w:rsid w:val="07494B83"/>
    <w:rsid w:val="076727F2"/>
    <w:rsid w:val="07703B03"/>
    <w:rsid w:val="078208F9"/>
    <w:rsid w:val="078C3B4B"/>
    <w:rsid w:val="07955D4F"/>
    <w:rsid w:val="07AC71CC"/>
    <w:rsid w:val="08272C77"/>
    <w:rsid w:val="08287293"/>
    <w:rsid w:val="084609A1"/>
    <w:rsid w:val="08636F89"/>
    <w:rsid w:val="08AE0A32"/>
    <w:rsid w:val="08F766EF"/>
    <w:rsid w:val="09095C0C"/>
    <w:rsid w:val="096A6383"/>
    <w:rsid w:val="09A802AC"/>
    <w:rsid w:val="09DA37D6"/>
    <w:rsid w:val="0A405C1B"/>
    <w:rsid w:val="0A787C21"/>
    <w:rsid w:val="0A852394"/>
    <w:rsid w:val="0AA40EFD"/>
    <w:rsid w:val="0AB84BEA"/>
    <w:rsid w:val="0B3B25DD"/>
    <w:rsid w:val="0B546724"/>
    <w:rsid w:val="0B8D2448"/>
    <w:rsid w:val="0BA8338B"/>
    <w:rsid w:val="0BED583F"/>
    <w:rsid w:val="0C6F486A"/>
    <w:rsid w:val="0C7D1B87"/>
    <w:rsid w:val="0C816710"/>
    <w:rsid w:val="0CB2512C"/>
    <w:rsid w:val="0CD073F6"/>
    <w:rsid w:val="0CE3450C"/>
    <w:rsid w:val="0D002EE2"/>
    <w:rsid w:val="0D151E81"/>
    <w:rsid w:val="0D22516B"/>
    <w:rsid w:val="0D305778"/>
    <w:rsid w:val="0D94413D"/>
    <w:rsid w:val="0DA15B4A"/>
    <w:rsid w:val="0DB26A73"/>
    <w:rsid w:val="0DBD5CCC"/>
    <w:rsid w:val="0E320D44"/>
    <w:rsid w:val="0E445A35"/>
    <w:rsid w:val="0E731A5F"/>
    <w:rsid w:val="0EAD1CBA"/>
    <w:rsid w:val="0EC61DCA"/>
    <w:rsid w:val="0ECA1937"/>
    <w:rsid w:val="0EDF6D7F"/>
    <w:rsid w:val="0F324DDE"/>
    <w:rsid w:val="0F58016C"/>
    <w:rsid w:val="0F6025AE"/>
    <w:rsid w:val="0F69440A"/>
    <w:rsid w:val="0F6F03B1"/>
    <w:rsid w:val="0F735104"/>
    <w:rsid w:val="0F971348"/>
    <w:rsid w:val="0FA34A16"/>
    <w:rsid w:val="0FB562D1"/>
    <w:rsid w:val="0FB70844"/>
    <w:rsid w:val="1008554E"/>
    <w:rsid w:val="102139D6"/>
    <w:rsid w:val="10301A33"/>
    <w:rsid w:val="105460C4"/>
    <w:rsid w:val="10A824D8"/>
    <w:rsid w:val="10AD6463"/>
    <w:rsid w:val="10C271FB"/>
    <w:rsid w:val="10D51E3F"/>
    <w:rsid w:val="11033C70"/>
    <w:rsid w:val="1106424F"/>
    <w:rsid w:val="11171B49"/>
    <w:rsid w:val="11586FAD"/>
    <w:rsid w:val="115A060C"/>
    <w:rsid w:val="118C1695"/>
    <w:rsid w:val="119A1D25"/>
    <w:rsid w:val="11D10724"/>
    <w:rsid w:val="11E82272"/>
    <w:rsid w:val="11EB3B7F"/>
    <w:rsid w:val="120103D7"/>
    <w:rsid w:val="125E5ADD"/>
    <w:rsid w:val="12813ED5"/>
    <w:rsid w:val="128C107C"/>
    <w:rsid w:val="12B3770F"/>
    <w:rsid w:val="12C95378"/>
    <w:rsid w:val="12D059F8"/>
    <w:rsid w:val="13145B5B"/>
    <w:rsid w:val="13422FE3"/>
    <w:rsid w:val="13653B3C"/>
    <w:rsid w:val="139920A9"/>
    <w:rsid w:val="13B233FB"/>
    <w:rsid w:val="13D17DBD"/>
    <w:rsid w:val="140D2EA4"/>
    <w:rsid w:val="14143C96"/>
    <w:rsid w:val="141A3CE8"/>
    <w:rsid w:val="141B05B8"/>
    <w:rsid w:val="14544B91"/>
    <w:rsid w:val="146B21B3"/>
    <w:rsid w:val="147459EB"/>
    <w:rsid w:val="14812010"/>
    <w:rsid w:val="14836459"/>
    <w:rsid w:val="14976213"/>
    <w:rsid w:val="14E6449D"/>
    <w:rsid w:val="14FD7301"/>
    <w:rsid w:val="15192BBD"/>
    <w:rsid w:val="15347001"/>
    <w:rsid w:val="15B51AB4"/>
    <w:rsid w:val="15E212A4"/>
    <w:rsid w:val="1639210B"/>
    <w:rsid w:val="16557890"/>
    <w:rsid w:val="169142F8"/>
    <w:rsid w:val="16970735"/>
    <w:rsid w:val="178068C6"/>
    <w:rsid w:val="180218A0"/>
    <w:rsid w:val="183A37B5"/>
    <w:rsid w:val="18827817"/>
    <w:rsid w:val="18D5700E"/>
    <w:rsid w:val="18D80511"/>
    <w:rsid w:val="19113597"/>
    <w:rsid w:val="19373A9F"/>
    <w:rsid w:val="195F3582"/>
    <w:rsid w:val="196E2EE9"/>
    <w:rsid w:val="199A6628"/>
    <w:rsid w:val="1A0047B2"/>
    <w:rsid w:val="1A72408B"/>
    <w:rsid w:val="1A8E5905"/>
    <w:rsid w:val="1AC31890"/>
    <w:rsid w:val="1AC96EF5"/>
    <w:rsid w:val="1B026E8F"/>
    <w:rsid w:val="1B3F48D3"/>
    <w:rsid w:val="1B604EFC"/>
    <w:rsid w:val="1B6849C5"/>
    <w:rsid w:val="1B990187"/>
    <w:rsid w:val="1BA54C12"/>
    <w:rsid w:val="1BB5372A"/>
    <w:rsid w:val="1BE86F72"/>
    <w:rsid w:val="1BF12180"/>
    <w:rsid w:val="1BF321D6"/>
    <w:rsid w:val="1BF827D6"/>
    <w:rsid w:val="1C164008"/>
    <w:rsid w:val="1C3E5509"/>
    <w:rsid w:val="1C6419A2"/>
    <w:rsid w:val="1C9B0FAB"/>
    <w:rsid w:val="1CB618C1"/>
    <w:rsid w:val="1CF51587"/>
    <w:rsid w:val="1D391DEC"/>
    <w:rsid w:val="1D6468EC"/>
    <w:rsid w:val="1D7820F8"/>
    <w:rsid w:val="1D902924"/>
    <w:rsid w:val="1DBA07EC"/>
    <w:rsid w:val="1DC15AE0"/>
    <w:rsid w:val="1E2F4F11"/>
    <w:rsid w:val="1E4264D9"/>
    <w:rsid w:val="1EF64511"/>
    <w:rsid w:val="1F252FBB"/>
    <w:rsid w:val="1F2724C0"/>
    <w:rsid w:val="1F3E1AE9"/>
    <w:rsid w:val="1F4C2D07"/>
    <w:rsid w:val="1F55118F"/>
    <w:rsid w:val="1F5846B5"/>
    <w:rsid w:val="1FB118EA"/>
    <w:rsid w:val="1FBD3FD9"/>
    <w:rsid w:val="1FF07E4D"/>
    <w:rsid w:val="205F7D91"/>
    <w:rsid w:val="20852A65"/>
    <w:rsid w:val="20B72A65"/>
    <w:rsid w:val="20BA2229"/>
    <w:rsid w:val="20CF290E"/>
    <w:rsid w:val="20E72FF2"/>
    <w:rsid w:val="20E95C65"/>
    <w:rsid w:val="210D6D92"/>
    <w:rsid w:val="21352713"/>
    <w:rsid w:val="218C74E6"/>
    <w:rsid w:val="2198380B"/>
    <w:rsid w:val="21B21606"/>
    <w:rsid w:val="21D563C6"/>
    <w:rsid w:val="21D70A90"/>
    <w:rsid w:val="22102D99"/>
    <w:rsid w:val="222A3754"/>
    <w:rsid w:val="22404430"/>
    <w:rsid w:val="22515FB1"/>
    <w:rsid w:val="227B4E43"/>
    <w:rsid w:val="229E5492"/>
    <w:rsid w:val="22B10BF6"/>
    <w:rsid w:val="22BF0BC3"/>
    <w:rsid w:val="230C3F3E"/>
    <w:rsid w:val="237B6706"/>
    <w:rsid w:val="23D66EB1"/>
    <w:rsid w:val="24E26368"/>
    <w:rsid w:val="24F060B6"/>
    <w:rsid w:val="24F4702F"/>
    <w:rsid w:val="2526230C"/>
    <w:rsid w:val="25776EF3"/>
    <w:rsid w:val="258372B3"/>
    <w:rsid w:val="25A33182"/>
    <w:rsid w:val="25C260F2"/>
    <w:rsid w:val="25E7640A"/>
    <w:rsid w:val="25F61FC5"/>
    <w:rsid w:val="263F0D6D"/>
    <w:rsid w:val="265A27E3"/>
    <w:rsid w:val="266E0246"/>
    <w:rsid w:val="26850E1A"/>
    <w:rsid w:val="2685761E"/>
    <w:rsid w:val="26BB5219"/>
    <w:rsid w:val="27342C8B"/>
    <w:rsid w:val="27451BE9"/>
    <w:rsid w:val="275B7A1D"/>
    <w:rsid w:val="279C2F18"/>
    <w:rsid w:val="27A20EED"/>
    <w:rsid w:val="27AC329D"/>
    <w:rsid w:val="27CC23A5"/>
    <w:rsid w:val="27F20638"/>
    <w:rsid w:val="27F82188"/>
    <w:rsid w:val="286B5300"/>
    <w:rsid w:val="288B59EB"/>
    <w:rsid w:val="28951C47"/>
    <w:rsid w:val="29214A61"/>
    <w:rsid w:val="292373F4"/>
    <w:rsid w:val="293E070F"/>
    <w:rsid w:val="29A117D0"/>
    <w:rsid w:val="29D24B84"/>
    <w:rsid w:val="29E66540"/>
    <w:rsid w:val="29F063AB"/>
    <w:rsid w:val="2A2C32AF"/>
    <w:rsid w:val="2A7F0B9C"/>
    <w:rsid w:val="2A935D55"/>
    <w:rsid w:val="2AA17FD5"/>
    <w:rsid w:val="2ABE5C68"/>
    <w:rsid w:val="2B2234F7"/>
    <w:rsid w:val="2B234FF1"/>
    <w:rsid w:val="2B2C6C68"/>
    <w:rsid w:val="2B543C6D"/>
    <w:rsid w:val="2B5E3418"/>
    <w:rsid w:val="2B7D3747"/>
    <w:rsid w:val="2B8F633D"/>
    <w:rsid w:val="2BB00B24"/>
    <w:rsid w:val="2C2019F2"/>
    <w:rsid w:val="2C382F64"/>
    <w:rsid w:val="2C3B5D35"/>
    <w:rsid w:val="2C4A149F"/>
    <w:rsid w:val="2C5A6631"/>
    <w:rsid w:val="2C9B0879"/>
    <w:rsid w:val="2CA54F3A"/>
    <w:rsid w:val="2CCB7091"/>
    <w:rsid w:val="2CFA6CF5"/>
    <w:rsid w:val="2D0D5693"/>
    <w:rsid w:val="2D1B6E07"/>
    <w:rsid w:val="2D59540A"/>
    <w:rsid w:val="2DFC47B5"/>
    <w:rsid w:val="2E662B17"/>
    <w:rsid w:val="2ED46BE5"/>
    <w:rsid w:val="2F475A43"/>
    <w:rsid w:val="2F69760C"/>
    <w:rsid w:val="2F9875D3"/>
    <w:rsid w:val="2F99179F"/>
    <w:rsid w:val="2FA80A1B"/>
    <w:rsid w:val="301F30C1"/>
    <w:rsid w:val="302D79C3"/>
    <w:rsid w:val="306D3E79"/>
    <w:rsid w:val="30704E09"/>
    <w:rsid w:val="3087632C"/>
    <w:rsid w:val="30891733"/>
    <w:rsid w:val="309B2C82"/>
    <w:rsid w:val="30DD57CF"/>
    <w:rsid w:val="30F4084C"/>
    <w:rsid w:val="310C2A2D"/>
    <w:rsid w:val="312D0DAC"/>
    <w:rsid w:val="3139260C"/>
    <w:rsid w:val="31590E0E"/>
    <w:rsid w:val="31672B6E"/>
    <w:rsid w:val="31862B2E"/>
    <w:rsid w:val="318E0B32"/>
    <w:rsid w:val="31A96BFD"/>
    <w:rsid w:val="31F224A2"/>
    <w:rsid w:val="32046CB2"/>
    <w:rsid w:val="321523BC"/>
    <w:rsid w:val="32173215"/>
    <w:rsid w:val="32246FDE"/>
    <w:rsid w:val="327F0AB2"/>
    <w:rsid w:val="329425F2"/>
    <w:rsid w:val="32B31C71"/>
    <w:rsid w:val="330704AD"/>
    <w:rsid w:val="33114819"/>
    <w:rsid w:val="335F0F5E"/>
    <w:rsid w:val="3361119F"/>
    <w:rsid w:val="33862C92"/>
    <w:rsid w:val="33895568"/>
    <w:rsid w:val="338B68AE"/>
    <w:rsid w:val="34676524"/>
    <w:rsid w:val="347E4CDA"/>
    <w:rsid w:val="348F13F0"/>
    <w:rsid w:val="34DF353A"/>
    <w:rsid w:val="35082F12"/>
    <w:rsid w:val="350B001C"/>
    <w:rsid w:val="355F203F"/>
    <w:rsid w:val="357651A1"/>
    <w:rsid w:val="357A0148"/>
    <w:rsid w:val="35910FC7"/>
    <w:rsid w:val="35E1589B"/>
    <w:rsid w:val="363A4783"/>
    <w:rsid w:val="363F79E4"/>
    <w:rsid w:val="364968AB"/>
    <w:rsid w:val="36832C4C"/>
    <w:rsid w:val="369879E8"/>
    <w:rsid w:val="36D71E22"/>
    <w:rsid w:val="3727100E"/>
    <w:rsid w:val="37ED4303"/>
    <w:rsid w:val="38114453"/>
    <w:rsid w:val="382E430F"/>
    <w:rsid w:val="3838636F"/>
    <w:rsid w:val="38B97E7B"/>
    <w:rsid w:val="38D154F3"/>
    <w:rsid w:val="39083A7E"/>
    <w:rsid w:val="390D0555"/>
    <w:rsid w:val="39135A46"/>
    <w:rsid w:val="392F424E"/>
    <w:rsid w:val="394D72A6"/>
    <w:rsid w:val="39514A55"/>
    <w:rsid w:val="39767299"/>
    <w:rsid w:val="39D303CF"/>
    <w:rsid w:val="3A054CEF"/>
    <w:rsid w:val="3A150EE2"/>
    <w:rsid w:val="3A467A1D"/>
    <w:rsid w:val="3A7E2EC8"/>
    <w:rsid w:val="3A7E782A"/>
    <w:rsid w:val="3AB803C0"/>
    <w:rsid w:val="3ABB02A3"/>
    <w:rsid w:val="3B042E4E"/>
    <w:rsid w:val="3B322A37"/>
    <w:rsid w:val="3BC8438F"/>
    <w:rsid w:val="3BD965D9"/>
    <w:rsid w:val="3C186B8C"/>
    <w:rsid w:val="3C3D2B35"/>
    <w:rsid w:val="3C951823"/>
    <w:rsid w:val="3CA36E4A"/>
    <w:rsid w:val="3CA6227F"/>
    <w:rsid w:val="3CC1682B"/>
    <w:rsid w:val="3D23160C"/>
    <w:rsid w:val="3D2C4C75"/>
    <w:rsid w:val="3D326750"/>
    <w:rsid w:val="3D512F31"/>
    <w:rsid w:val="3D634025"/>
    <w:rsid w:val="3D9279CA"/>
    <w:rsid w:val="3E7176B8"/>
    <w:rsid w:val="3EA23796"/>
    <w:rsid w:val="3EC45F36"/>
    <w:rsid w:val="3F350927"/>
    <w:rsid w:val="3F6C0F20"/>
    <w:rsid w:val="3F6D4088"/>
    <w:rsid w:val="3F6F67EC"/>
    <w:rsid w:val="3F7777AB"/>
    <w:rsid w:val="3F8A5359"/>
    <w:rsid w:val="3F984BF5"/>
    <w:rsid w:val="3FD117FF"/>
    <w:rsid w:val="3FEC20E2"/>
    <w:rsid w:val="40172275"/>
    <w:rsid w:val="4027357C"/>
    <w:rsid w:val="40310E44"/>
    <w:rsid w:val="40631AF6"/>
    <w:rsid w:val="40717F76"/>
    <w:rsid w:val="40B7586B"/>
    <w:rsid w:val="411C6FA4"/>
    <w:rsid w:val="412F5832"/>
    <w:rsid w:val="418E2297"/>
    <w:rsid w:val="418E75D7"/>
    <w:rsid w:val="41C167F8"/>
    <w:rsid w:val="41E033AA"/>
    <w:rsid w:val="41F42BEF"/>
    <w:rsid w:val="4235262D"/>
    <w:rsid w:val="425E7EC8"/>
    <w:rsid w:val="42602304"/>
    <w:rsid w:val="426C6A93"/>
    <w:rsid w:val="427E2105"/>
    <w:rsid w:val="42A7264F"/>
    <w:rsid w:val="433B7D72"/>
    <w:rsid w:val="433E49C7"/>
    <w:rsid w:val="43526677"/>
    <w:rsid w:val="43555B50"/>
    <w:rsid w:val="43A2113B"/>
    <w:rsid w:val="43CD55AB"/>
    <w:rsid w:val="43CD77BF"/>
    <w:rsid w:val="43F14A45"/>
    <w:rsid w:val="440C5F26"/>
    <w:rsid w:val="44331AC7"/>
    <w:rsid w:val="4436280D"/>
    <w:rsid w:val="447432CA"/>
    <w:rsid w:val="44C2322F"/>
    <w:rsid w:val="44DE37A4"/>
    <w:rsid w:val="44F4729F"/>
    <w:rsid w:val="44F53696"/>
    <w:rsid w:val="44F656FA"/>
    <w:rsid w:val="45230089"/>
    <w:rsid w:val="459319F9"/>
    <w:rsid w:val="45AF58D2"/>
    <w:rsid w:val="45B5480D"/>
    <w:rsid w:val="46222B01"/>
    <w:rsid w:val="468C6C76"/>
    <w:rsid w:val="47181DE8"/>
    <w:rsid w:val="474B3C5A"/>
    <w:rsid w:val="475E77FB"/>
    <w:rsid w:val="47622B74"/>
    <w:rsid w:val="47AD3CF7"/>
    <w:rsid w:val="47BF10FE"/>
    <w:rsid w:val="47D23324"/>
    <w:rsid w:val="481A3D09"/>
    <w:rsid w:val="484510ED"/>
    <w:rsid w:val="48716E60"/>
    <w:rsid w:val="487B5738"/>
    <w:rsid w:val="490E69E1"/>
    <w:rsid w:val="494475CD"/>
    <w:rsid w:val="49464DBD"/>
    <w:rsid w:val="497570AD"/>
    <w:rsid w:val="49A114A3"/>
    <w:rsid w:val="49C1491E"/>
    <w:rsid w:val="49E23185"/>
    <w:rsid w:val="49EA4745"/>
    <w:rsid w:val="4A1E5FC9"/>
    <w:rsid w:val="4A266DBA"/>
    <w:rsid w:val="4AFB03E3"/>
    <w:rsid w:val="4B713C52"/>
    <w:rsid w:val="4BCE46F3"/>
    <w:rsid w:val="4BF97A4F"/>
    <w:rsid w:val="4C5F4AC9"/>
    <w:rsid w:val="4CEC5920"/>
    <w:rsid w:val="4CFC6594"/>
    <w:rsid w:val="4D0E1051"/>
    <w:rsid w:val="4D314267"/>
    <w:rsid w:val="4D3363BB"/>
    <w:rsid w:val="4D837FFB"/>
    <w:rsid w:val="4D9219CF"/>
    <w:rsid w:val="4DDF43A7"/>
    <w:rsid w:val="4E2043C7"/>
    <w:rsid w:val="4E3214F0"/>
    <w:rsid w:val="4E3E598A"/>
    <w:rsid w:val="4E4201A7"/>
    <w:rsid w:val="4E4C6A66"/>
    <w:rsid w:val="4E4C6CD1"/>
    <w:rsid w:val="4E520300"/>
    <w:rsid w:val="4E553854"/>
    <w:rsid w:val="4E5A4F2A"/>
    <w:rsid w:val="4E87502E"/>
    <w:rsid w:val="4E9244E7"/>
    <w:rsid w:val="4EFC2296"/>
    <w:rsid w:val="4F205821"/>
    <w:rsid w:val="4F495CF6"/>
    <w:rsid w:val="4FA341AF"/>
    <w:rsid w:val="4FC30160"/>
    <w:rsid w:val="4FF33B40"/>
    <w:rsid w:val="4FF55EF5"/>
    <w:rsid w:val="5051529A"/>
    <w:rsid w:val="51702083"/>
    <w:rsid w:val="51891887"/>
    <w:rsid w:val="51977402"/>
    <w:rsid w:val="51AA6780"/>
    <w:rsid w:val="51CD656D"/>
    <w:rsid w:val="525027E8"/>
    <w:rsid w:val="525733E2"/>
    <w:rsid w:val="52860F8F"/>
    <w:rsid w:val="5371732D"/>
    <w:rsid w:val="53B372B8"/>
    <w:rsid w:val="53C67F5F"/>
    <w:rsid w:val="53D10802"/>
    <w:rsid w:val="53DA2AF4"/>
    <w:rsid w:val="53E75AC4"/>
    <w:rsid w:val="53FC2B85"/>
    <w:rsid w:val="540A45BA"/>
    <w:rsid w:val="54160D63"/>
    <w:rsid w:val="54741A35"/>
    <w:rsid w:val="547C1193"/>
    <w:rsid w:val="54810481"/>
    <w:rsid w:val="54A33CC3"/>
    <w:rsid w:val="54C8587C"/>
    <w:rsid w:val="54E75C65"/>
    <w:rsid w:val="55383659"/>
    <w:rsid w:val="559C1B59"/>
    <w:rsid w:val="55A1746B"/>
    <w:rsid w:val="55AF3CD6"/>
    <w:rsid w:val="55CD02B5"/>
    <w:rsid w:val="55DF015C"/>
    <w:rsid w:val="55F24BA4"/>
    <w:rsid w:val="564D4F53"/>
    <w:rsid w:val="565E1AB5"/>
    <w:rsid w:val="56737C4B"/>
    <w:rsid w:val="56AD26E1"/>
    <w:rsid w:val="56D9765A"/>
    <w:rsid w:val="56F9407E"/>
    <w:rsid w:val="57100996"/>
    <w:rsid w:val="571E6A84"/>
    <w:rsid w:val="572332D5"/>
    <w:rsid w:val="57270BDE"/>
    <w:rsid w:val="572F6A49"/>
    <w:rsid w:val="57376477"/>
    <w:rsid w:val="578A4374"/>
    <w:rsid w:val="578B6048"/>
    <w:rsid w:val="579B6E2E"/>
    <w:rsid w:val="57AD7B04"/>
    <w:rsid w:val="57DE7609"/>
    <w:rsid w:val="580E704D"/>
    <w:rsid w:val="58221700"/>
    <w:rsid w:val="582B7C6E"/>
    <w:rsid w:val="5860262A"/>
    <w:rsid w:val="58612BA4"/>
    <w:rsid w:val="5890409C"/>
    <w:rsid w:val="58F258A4"/>
    <w:rsid w:val="58F510CD"/>
    <w:rsid w:val="59391D80"/>
    <w:rsid w:val="59423F89"/>
    <w:rsid w:val="596E362A"/>
    <w:rsid w:val="59964AA8"/>
    <w:rsid w:val="59C12497"/>
    <w:rsid w:val="59F14F6C"/>
    <w:rsid w:val="5A6B1829"/>
    <w:rsid w:val="5AA1147B"/>
    <w:rsid w:val="5AB90611"/>
    <w:rsid w:val="5AD90D24"/>
    <w:rsid w:val="5B1D4181"/>
    <w:rsid w:val="5B2D3EC1"/>
    <w:rsid w:val="5B5E785B"/>
    <w:rsid w:val="5B6B3A85"/>
    <w:rsid w:val="5B8917FE"/>
    <w:rsid w:val="5BE0433D"/>
    <w:rsid w:val="5BEC5734"/>
    <w:rsid w:val="5BF93EB7"/>
    <w:rsid w:val="5C10750B"/>
    <w:rsid w:val="5C4025A2"/>
    <w:rsid w:val="5C4A04C5"/>
    <w:rsid w:val="5C603DFA"/>
    <w:rsid w:val="5CC772C4"/>
    <w:rsid w:val="5CF1254C"/>
    <w:rsid w:val="5CFB3687"/>
    <w:rsid w:val="5D0E6ED9"/>
    <w:rsid w:val="5D712E12"/>
    <w:rsid w:val="5D755FB5"/>
    <w:rsid w:val="5D860535"/>
    <w:rsid w:val="5DC452F2"/>
    <w:rsid w:val="5DD12BCA"/>
    <w:rsid w:val="5E39570A"/>
    <w:rsid w:val="5E8646F3"/>
    <w:rsid w:val="5E91040B"/>
    <w:rsid w:val="5EC57ACB"/>
    <w:rsid w:val="5EFF48BC"/>
    <w:rsid w:val="5F3007DD"/>
    <w:rsid w:val="5F480EE1"/>
    <w:rsid w:val="5F567A1E"/>
    <w:rsid w:val="5FA7257B"/>
    <w:rsid w:val="5FCE0C1E"/>
    <w:rsid w:val="60545C91"/>
    <w:rsid w:val="60A45FC3"/>
    <w:rsid w:val="60C02FF8"/>
    <w:rsid w:val="60E02806"/>
    <w:rsid w:val="611773F0"/>
    <w:rsid w:val="6179416A"/>
    <w:rsid w:val="61B10543"/>
    <w:rsid w:val="61E0475F"/>
    <w:rsid w:val="61F3354F"/>
    <w:rsid w:val="62372710"/>
    <w:rsid w:val="6275181F"/>
    <w:rsid w:val="628524EC"/>
    <w:rsid w:val="6312033B"/>
    <w:rsid w:val="63224D21"/>
    <w:rsid w:val="632C3C40"/>
    <w:rsid w:val="633961EC"/>
    <w:rsid w:val="634345E0"/>
    <w:rsid w:val="639D7A1F"/>
    <w:rsid w:val="63B73E44"/>
    <w:rsid w:val="63BE634E"/>
    <w:rsid w:val="63E34A15"/>
    <w:rsid w:val="644942E6"/>
    <w:rsid w:val="649D2812"/>
    <w:rsid w:val="64A17146"/>
    <w:rsid w:val="64C02FC5"/>
    <w:rsid w:val="64D101A5"/>
    <w:rsid w:val="64EB6B73"/>
    <w:rsid w:val="64FA0804"/>
    <w:rsid w:val="65185F3C"/>
    <w:rsid w:val="65380F23"/>
    <w:rsid w:val="65857E99"/>
    <w:rsid w:val="65F3341E"/>
    <w:rsid w:val="65F35755"/>
    <w:rsid w:val="65F57087"/>
    <w:rsid w:val="65F824C1"/>
    <w:rsid w:val="66143DFB"/>
    <w:rsid w:val="665C256D"/>
    <w:rsid w:val="666F1755"/>
    <w:rsid w:val="66891154"/>
    <w:rsid w:val="66DA196F"/>
    <w:rsid w:val="671857AE"/>
    <w:rsid w:val="67226F9D"/>
    <w:rsid w:val="672A202A"/>
    <w:rsid w:val="672D3802"/>
    <w:rsid w:val="679424AE"/>
    <w:rsid w:val="6853699C"/>
    <w:rsid w:val="685B1565"/>
    <w:rsid w:val="685F4EF9"/>
    <w:rsid w:val="6865077D"/>
    <w:rsid w:val="687D6FBC"/>
    <w:rsid w:val="690E0EF9"/>
    <w:rsid w:val="691D13A5"/>
    <w:rsid w:val="692E6E48"/>
    <w:rsid w:val="693F192D"/>
    <w:rsid w:val="69454E48"/>
    <w:rsid w:val="69526715"/>
    <w:rsid w:val="698B79C1"/>
    <w:rsid w:val="69BD5732"/>
    <w:rsid w:val="69E1092C"/>
    <w:rsid w:val="69F705BA"/>
    <w:rsid w:val="69FD4653"/>
    <w:rsid w:val="6A096FFA"/>
    <w:rsid w:val="6A2C4656"/>
    <w:rsid w:val="6A425136"/>
    <w:rsid w:val="6A50735E"/>
    <w:rsid w:val="6A8C1996"/>
    <w:rsid w:val="6AAC30B7"/>
    <w:rsid w:val="6AFD5810"/>
    <w:rsid w:val="6B0D2637"/>
    <w:rsid w:val="6B2B0CE2"/>
    <w:rsid w:val="6B347975"/>
    <w:rsid w:val="6B4A0124"/>
    <w:rsid w:val="6BA11B51"/>
    <w:rsid w:val="6BB8529D"/>
    <w:rsid w:val="6BCB5F4F"/>
    <w:rsid w:val="6BF430B7"/>
    <w:rsid w:val="6C4669C1"/>
    <w:rsid w:val="6C554FC4"/>
    <w:rsid w:val="6C7F7B33"/>
    <w:rsid w:val="6CAF2935"/>
    <w:rsid w:val="6CB84EA9"/>
    <w:rsid w:val="6CF40A57"/>
    <w:rsid w:val="6CF752C6"/>
    <w:rsid w:val="6CF94A3B"/>
    <w:rsid w:val="6D123E40"/>
    <w:rsid w:val="6D17141E"/>
    <w:rsid w:val="6D3B60E6"/>
    <w:rsid w:val="6D587990"/>
    <w:rsid w:val="6D921EB7"/>
    <w:rsid w:val="6DBF7287"/>
    <w:rsid w:val="6DD4217F"/>
    <w:rsid w:val="6DEC4025"/>
    <w:rsid w:val="6E312DD6"/>
    <w:rsid w:val="6E422A5B"/>
    <w:rsid w:val="6E4318CF"/>
    <w:rsid w:val="6E455A9E"/>
    <w:rsid w:val="6E6C7729"/>
    <w:rsid w:val="6ED67637"/>
    <w:rsid w:val="6F565D2F"/>
    <w:rsid w:val="6F601E5F"/>
    <w:rsid w:val="6F645430"/>
    <w:rsid w:val="6F7D030F"/>
    <w:rsid w:val="6F7D4D74"/>
    <w:rsid w:val="6F816B76"/>
    <w:rsid w:val="6F882843"/>
    <w:rsid w:val="706649AB"/>
    <w:rsid w:val="706A720A"/>
    <w:rsid w:val="70842E6E"/>
    <w:rsid w:val="70A31857"/>
    <w:rsid w:val="70A83074"/>
    <w:rsid w:val="70E65473"/>
    <w:rsid w:val="712C4F46"/>
    <w:rsid w:val="7154612D"/>
    <w:rsid w:val="71602CA8"/>
    <w:rsid w:val="71656C0D"/>
    <w:rsid w:val="71DA1EC1"/>
    <w:rsid w:val="71E27A50"/>
    <w:rsid w:val="72255974"/>
    <w:rsid w:val="724D20DA"/>
    <w:rsid w:val="72653D87"/>
    <w:rsid w:val="72660120"/>
    <w:rsid w:val="728121AB"/>
    <w:rsid w:val="729B46CB"/>
    <w:rsid w:val="72B128B0"/>
    <w:rsid w:val="72DE0124"/>
    <w:rsid w:val="72EC6F08"/>
    <w:rsid w:val="72EE0D5B"/>
    <w:rsid w:val="73015A8A"/>
    <w:rsid w:val="73176F29"/>
    <w:rsid w:val="73211B94"/>
    <w:rsid w:val="73566F51"/>
    <w:rsid w:val="73C45CC9"/>
    <w:rsid w:val="73E22620"/>
    <w:rsid w:val="740E3B44"/>
    <w:rsid w:val="7427469D"/>
    <w:rsid w:val="742C2026"/>
    <w:rsid w:val="748F4A8A"/>
    <w:rsid w:val="74C72786"/>
    <w:rsid w:val="74E218FC"/>
    <w:rsid w:val="74EC18E3"/>
    <w:rsid w:val="75691C57"/>
    <w:rsid w:val="759A6BCE"/>
    <w:rsid w:val="75A4732C"/>
    <w:rsid w:val="75B30710"/>
    <w:rsid w:val="75CF4BA4"/>
    <w:rsid w:val="75E824BC"/>
    <w:rsid w:val="75F7307C"/>
    <w:rsid w:val="762D3A20"/>
    <w:rsid w:val="767624A9"/>
    <w:rsid w:val="76A4413F"/>
    <w:rsid w:val="76FA0ACC"/>
    <w:rsid w:val="77376695"/>
    <w:rsid w:val="778310A4"/>
    <w:rsid w:val="78091DBE"/>
    <w:rsid w:val="78147304"/>
    <w:rsid w:val="78224B30"/>
    <w:rsid w:val="78462D08"/>
    <w:rsid w:val="78580A8B"/>
    <w:rsid w:val="788C15AC"/>
    <w:rsid w:val="78B268A7"/>
    <w:rsid w:val="79134951"/>
    <w:rsid w:val="7956273A"/>
    <w:rsid w:val="7A0C61C2"/>
    <w:rsid w:val="7A2C1CAD"/>
    <w:rsid w:val="7A7C1B6B"/>
    <w:rsid w:val="7A917568"/>
    <w:rsid w:val="7AA04DA6"/>
    <w:rsid w:val="7AB92DA1"/>
    <w:rsid w:val="7ACA19EA"/>
    <w:rsid w:val="7B1D6F88"/>
    <w:rsid w:val="7B1E36D6"/>
    <w:rsid w:val="7B574D52"/>
    <w:rsid w:val="7B652355"/>
    <w:rsid w:val="7B712416"/>
    <w:rsid w:val="7BBA3278"/>
    <w:rsid w:val="7BC96116"/>
    <w:rsid w:val="7BDF619B"/>
    <w:rsid w:val="7C086114"/>
    <w:rsid w:val="7C0F1793"/>
    <w:rsid w:val="7CD07F01"/>
    <w:rsid w:val="7D0869F8"/>
    <w:rsid w:val="7DB519BC"/>
    <w:rsid w:val="7DE870EE"/>
    <w:rsid w:val="7E306710"/>
    <w:rsid w:val="7E57336B"/>
    <w:rsid w:val="7E597AF4"/>
    <w:rsid w:val="7EB331A1"/>
    <w:rsid w:val="7ED555CA"/>
    <w:rsid w:val="7F071BAD"/>
    <w:rsid w:val="7F104E61"/>
    <w:rsid w:val="7F6C7C38"/>
    <w:rsid w:val="7FD204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character" w:customStyle="1" w:styleId="11">
    <w:name w:val="批注框文本 Char"/>
    <w:link w:val="2"/>
    <w:semiHidden/>
    <w:qFormat/>
    <w:uiPriority w:val="99"/>
    <w:rPr>
      <w:sz w:val="18"/>
      <w:szCs w:val="18"/>
    </w:rPr>
  </w:style>
  <w:style w:type="paragraph" w:customStyle="1" w:styleId="12">
    <w:name w:val="修订1"/>
    <w:hidden/>
    <w:semiHidden/>
    <w:qFormat/>
    <w:uiPriority w:val="99"/>
    <w:rPr>
      <w:rFonts w:ascii="等线" w:hAnsi="等线" w:eastAsia="等线" w:cs="Times New Roman"/>
      <w:kern w:val="2"/>
      <w:sz w:val="21"/>
      <w:szCs w:val="22"/>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5F4CF-9F49-4356-A5CC-2175E9B8274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3853</Words>
  <Characters>21965</Characters>
  <Lines>183</Lines>
  <Paragraphs>51</Paragraphs>
  <TotalTime>16</TotalTime>
  <ScaleCrop>false</ScaleCrop>
  <LinksUpToDate>false</LinksUpToDate>
  <CharactersWithSpaces>25767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2019-05-23T03:03:00Z</dcterms:created>
  <dc:creator>洋 孙</dc:creator>
  <cp:lastModifiedBy>zyx</cp:lastModifiedBy>
  <cp:lastPrinted>2019-05-23T03:08:00Z</cp:lastPrinted>
  <dcterms:modified xsi:type="dcterms:W3CDTF">2026-04-20T03:18:28Z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