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61" w:tblpY="2224"/>
        <w:tblW w:w="8051" w:type="dxa"/>
        <w:tblLayout w:type="fixed"/>
        <w:tblLook w:val="04A0"/>
      </w:tblPr>
      <w:tblGrid>
        <w:gridCol w:w="580"/>
        <w:gridCol w:w="1200"/>
        <w:gridCol w:w="1080"/>
        <w:gridCol w:w="1845"/>
        <w:gridCol w:w="1095"/>
        <w:gridCol w:w="810"/>
        <w:gridCol w:w="765"/>
        <w:gridCol w:w="676"/>
      </w:tblGrid>
      <w:tr w:rsidR="008425E3" w:rsidTr="008425E3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合同号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合同签</w:t>
            </w:r>
          </w:p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订日期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设备品种</w:t>
            </w:r>
          </w:p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（客梯、货梯、</w:t>
            </w:r>
          </w:p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扶梯、杂物梯）及型号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最大提升高度m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/角度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额定速度m/s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站</w:t>
            </w:r>
          </w:p>
        </w:tc>
      </w:tr>
      <w:tr w:rsidR="008425E3" w:rsidTr="008425E3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CEF0C-21109-B-026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2022年12月13日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客梯UN-Victor mrl           货梯UN-F5000 mrl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19/24.4</w:t>
            </w:r>
          </w:p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1000/3000/2000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1/0.5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5/5、6/6</w:t>
            </w: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425E3" w:rsidTr="008425E3">
        <w:trPr>
          <w:trHeight w:val="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25E3" w:rsidTr="008425E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5E3" w:rsidRDefault="008425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1306E9" w:rsidRDefault="000A2A1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（公章）</w:t>
      </w:r>
      <w:r>
        <w:rPr>
          <w:rFonts w:hint="eastAsia"/>
          <w:sz w:val="24"/>
          <w:szCs w:val="24"/>
        </w:rPr>
        <w:t>辽宁瀚盛电梯有限公司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沈阳市</w:t>
      </w:r>
      <w:r>
        <w:rPr>
          <w:rFonts w:hint="eastAsia"/>
          <w:sz w:val="24"/>
          <w:szCs w:val="24"/>
        </w:rPr>
        <w:t>2023</w:t>
      </w:r>
      <w:r>
        <w:rPr>
          <w:rFonts w:hint="eastAsia"/>
          <w:sz w:val="24"/>
          <w:szCs w:val="24"/>
        </w:rPr>
        <w:t>年度执行原版标准合同项目备案表</w:t>
      </w:r>
      <w:r>
        <w:rPr>
          <w:rFonts w:hint="eastAsia"/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总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页，第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页</w:t>
      </w:r>
    </w:p>
    <w:p w:rsidR="001306E9" w:rsidRDefault="001306E9">
      <w:pPr>
        <w:rPr>
          <w:sz w:val="24"/>
          <w:szCs w:val="24"/>
        </w:rPr>
      </w:pPr>
    </w:p>
    <w:p w:rsidR="001306E9" w:rsidRDefault="001306E9">
      <w:pPr>
        <w:jc w:val="left"/>
        <w:rPr>
          <w:sz w:val="24"/>
          <w:szCs w:val="24"/>
        </w:rPr>
      </w:pPr>
    </w:p>
    <w:p w:rsidR="001306E9" w:rsidRDefault="000A2A14">
      <w:pPr>
        <w:jc w:val="left"/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1306E9" w:rsidSect="001306E9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A14" w:rsidRDefault="000A2A14" w:rsidP="008425E3">
      <w:r>
        <w:separator/>
      </w:r>
    </w:p>
  </w:endnote>
  <w:endnote w:type="continuationSeparator" w:id="1">
    <w:p w:rsidR="000A2A14" w:rsidRDefault="000A2A14" w:rsidP="00842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A14" w:rsidRDefault="000A2A14" w:rsidP="008425E3">
      <w:r>
        <w:separator/>
      </w:r>
    </w:p>
  </w:footnote>
  <w:footnote w:type="continuationSeparator" w:id="1">
    <w:p w:rsidR="000A2A14" w:rsidRDefault="000A2A14" w:rsidP="008425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U4ZGEzZWUxMDI4NDAzMjUwZDI5M2MzMDUzZmQ5MjEifQ=="/>
  </w:docVars>
  <w:rsids>
    <w:rsidRoot w:val="00A642C7"/>
    <w:rsid w:val="0001686A"/>
    <w:rsid w:val="00056415"/>
    <w:rsid w:val="000665CA"/>
    <w:rsid w:val="0007429A"/>
    <w:rsid w:val="000A2A14"/>
    <w:rsid w:val="000C1301"/>
    <w:rsid w:val="001306E9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425E3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38642CB"/>
    <w:rsid w:val="17C02154"/>
    <w:rsid w:val="18DD0A0A"/>
    <w:rsid w:val="1C6B4699"/>
    <w:rsid w:val="1CAC5703"/>
    <w:rsid w:val="2C701C05"/>
    <w:rsid w:val="34796F56"/>
    <w:rsid w:val="4B5F6A4E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6E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306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30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306E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306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