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开药店一件事-沈阳市</w:t>
      </w:r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pStyle w:val="2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操作手册</w:t>
      </w:r>
    </w:p>
    <w:p>
      <w:pPr>
        <w:bidi w:val="0"/>
        <w:jc w:val="center"/>
        <w:rPr>
          <w:rFonts w:hint="eastAsia"/>
          <w:b/>
          <w:bCs/>
          <w:sz w:val="48"/>
          <w:szCs w:val="48"/>
          <w:lang w:val="en-US" w:eastAsia="zh-CN"/>
        </w:rPr>
      </w:pPr>
    </w:p>
    <w:p>
      <w:pPr>
        <w:bidi w:val="0"/>
        <w:jc w:val="center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V1.0</w:t>
      </w:r>
    </w:p>
    <w:p>
      <w:pPr>
        <w:rPr>
          <w:rFonts w:hint="eastAsia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38930" cy="803910"/>
                <wp:effectExtent l="0" t="0" r="13970" b="15240"/>
                <wp:wrapSquare wrapText="bothSides"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8930" cy="803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height:63.3pt;width:325.9pt;mso-position-horizontal:center;mso-position-horizontal-relative:margin;mso-position-vertical:bottom;mso-position-vertical-relative:margin;mso-wrap-distance-bottom:0pt;mso-wrap-distance-left:9pt;mso-wrap-distance-right:9pt;mso-wrap-distance-top:0pt;z-index:251659264;mso-width-relative:page;mso-height-relative:page;" fillcolor="#FFFFFF" filled="t" stroked="f" coordsize="21600,21600" o:gfxdata="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1ork+0wAAAAUBAAAPAAAA&#10;AAAAAAEAIAAAACIAAABkcnMvZG93bnJldi54bWxQSwECFAAUAAAACACHTuJALxd88qgBAAArAwAA&#10;DgAAAAAAAAABACAAAAAiAQAAZHJzL2Uyb0RvYy54bWxQSwUGAAAAAAYABgBZAQAAP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0" w:name="_Toc25688"/>
      <w:r>
        <w:rPr>
          <w:rFonts w:hint="eastAsia"/>
          <w:lang w:val="en-US" w:eastAsia="zh-CN"/>
        </w:rPr>
        <w:t>入口地址</w:t>
      </w:r>
      <w:bookmarkEnd w:id="0"/>
    </w:p>
    <w:p>
      <w:pPr>
        <w:pStyle w:val="2"/>
        <w:ind w:left="0" w:leftChars="0" w:firstLine="42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沈阳政务服务网：</w:t>
      </w:r>
      <w:r>
        <w:rPr>
          <w:rFonts w:hint="default" w:ascii="宋体" w:hAnsi="宋体" w:eastAsia="宋体" w:cs="宋体"/>
          <w:lang w:val="en-US" w:eastAsia="zh-CN"/>
        </w:rPr>
        <w:t>https://zwfw.shenyang.gov.cn/</w:t>
      </w:r>
    </w:p>
    <w:p>
      <w:pPr>
        <w:pStyle w:val="2"/>
        <w:ind w:left="0" w:leftChars="0" w:firstLine="42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点击一件事办理页面</w:t>
      </w:r>
    </w:p>
    <w:p>
      <w:pPr>
        <w:pStyle w:val="2"/>
        <w:ind w:left="0" w:leftChars="0" w:firstLine="420" w:firstLineChars="0"/>
        <w:rPr>
          <w:rFonts w:hint="default" w:ascii="宋体" w:hAnsi="宋体" w:eastAsia="宋体" w:cs="宋体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2880" cy="3615055"/>
            <wp:effectExtent l="0" t="0" r="13970" b="4445"/>
            <wp:docPr id="6" name="图片 6" descr="796b1e0fb6d22617791d807ab56d8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96b1e0fb6d22617791d807ab56d8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  沈阳政务服务网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切换至法人服务主题列表，点击医护保健业，开药店一件事立即办理。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2245" cy="2988310"/>
            <wp:effectExtent l="0" t="0" r="14605" b="2540"/>
            <wp:docPr id="7" name="图片 7" descr="c3bf9f9e4c818a80c202a7c554fa7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3bf9f9e4c818a80c202a7c554fa7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266690" cy="2597150"/>
            <wp:effectExtent l="0" t="0" r="10160" b="12700"/>
            <wp:docPr id="8" name="图片 8" descr="69c7613c9bc6f740a371ab1f4e6cb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9c7613c9bc6f740a371ab1f4e6cbb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2"/>
        <w:ind w:left="0" w:leftChars="0" w:firstLine="0" w:firstLineChars="0"/>
        <w:rPr>
          <w:rFonts w:hint="default" w:ascii="仿宋" w:hAnsi="仿宋" w:eastAsia="仿宋" w:cs="仿宋"/>
          <w:b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p>
      <w:pPr>
        <w:pStyle w:val="4"/>
        <w:bidi w:val="0"/>
      </w:pPr>
      <w:bookmarkStart w:id="1" w:name="_Toc24466"/>
      <w:r>
        <w:rPr>
          <w:rFonts w:hint="eastAsia"/>
          <w:lang w:val="en-US" w:eastAsia="zh-CN"/>
        </w:rPr>
        <w:t>主题解读页面</w:t>
      </w:r>
      <w:bookmarkEnd w:id="1"/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进入一件事主题解读页面，展示当前一件事详细内容，包含一件事简介、办理四减数据、申报流程、申报所需材料、相关服务、相关政策内容。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3463925" cy="7133590"/>
            <wp:effectExtent l="0" t="0" r="3175" b="10160"/>
            <wp:docPr id="3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rcRect t="-111"/>
                    <a:stretch>
                      <a:fillRect/>
                    </a:stretch>
                  </pic:blipFill>
                  <pic:spPr>
                    <a:xfrm>
                      <a:off x="0" y="0"/>
                      <a:ext cx="3463925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2" w:name="_Toc13614"/>
      <w:r>
        <w:rPr>
          <w:rFonts w:hint="eastAsia"/>
          <w:lang w:val="en-US" w:eastAsia="zh-CN"/>
        </w:rPr>
        <w:t>我的办件</w:t>
      </w:r>
      <w:bookmarkEnd w:id="2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用户点击我的办件按钮前，需要进行政务网登录，点击右上角登录按钮或者点击我的办件后，跳转至政务网登录页面。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9205"/>
            <wp:effectExtent l="0" t="0" r="10160" b="4445"/>
            <wp:docPr id="3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当前主题为法人办理主题，需要登录企业用户身份信息，若登录成功后，直接跳转至我的办件页面，展示当前企业申报的开药店一件事办件。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9205"/>
            <wp:effectExtent l="0" t="0" r="10160" b="4445"/>
            <wp:docPr id="4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点击查看详情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3" w:name="_Toc7663"/>
      <w:r>
        <w:rPr>
          <w:rFonts w:hint="eastAsia"/>
          <w:lang w:val="en-US" w:eastAsia="zh-CN"/>
        </w:rPr>
        <w:t>草稿箱</w:t>
      </w:r>
      <w:bookmarkEnd w:id="3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当前用户若在申报流程中暂存了一条办件后，在草稿箱中能够看到草稿件，点击继续填报可以进入继续办理。</w:t>
      </w:r>
    </w:p>
    <w:p>
      <w:pPr/>
      <w:r>
        <w:drawing>
          <wp:inline distT="0" distB="0" distL="114300" distR="114300">
            <wp:extent cx="5266690" cy="2529205"/>
            <wp:effectExtent l="0" t="0" r="10160" b="4445"/>
            <wp:docPr id="4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eastAsia"/>
          <w:lang w:val="en-US" w:eastAsia="zh-CN"/>
        </w:rPr>
      </w:pPr>
      <w:bookmarkStart w:id="4" w:name="_Toc10400"/>
      <w:r>
        <w:rPr>
          <w:rFonts w:hint="eastAsia"/>
          <w:lang w:val="en-US" w:eastAsia="zh-CN"/>
        </w:rPr>
        <w:t>立即办理</w:t>
      </w:r>
      <w:bookmarkEnd w:id="4"/>
    </w:p>
    <w:p>
      <w:pPr>
        <w:pStyle w:val="5"/>
        <w:bidi w:val="0"/>
        <w:rPr>
          <w:rFonts w:hint="eastAsia"/>
          <w:lang w:val="en-US" w:eastAsia="zh-CN"/>
        </w:rPr>
      </w:pPr>
      <w:bookmarkStart w:id="5" w:name="_Toc29862"/>
      <w:r>
        <w:rPr>
          <w:rFonts w:hint="eastAsia"/>
          <w:lang w:val="en-US" w:eastAsia="zh-CN"/>
        </w:rPr>
        <w:t>智能引导</w:t>
      </w:r>
      <w:bookmarkEnd w:id="5"/>
    </w:p>
    <w:p>
      <w:pPr/>
      <w:r>
        <w:drawing>
          <wp:inline distT="0" distB="0" distL="114300" distR="114300">
            <wp:extent cx="5266690" cy="2529205"/>
            <wp:effectExtent l="0" t="0" r="10160" b="4445"/>
            <wp:docPr id="4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2416810"/>
            <wp:effectExtent l="0" t="0" r="3810" b="2540"/>
            <wp:docPr id="4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当前用户所需办理一件事事项进行选择，选择不同的情形，展示不同的表单。当选择需要办理药品经营许可证时，弹出是否需要办理医疗器械许可证，可以选择需要或不需要，食品经营许可证也可以选择是否需要办理，当事项都选择不需要时，点击下一步提示用户如下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2405" cy="2946400"/>
            <wp:effectExtent l="0" t="0" r="4445" b="6350"/>
            <wp:docPr id="4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若选择办理某个或者所有事项点击下一步进入条件预检环节。</w:t>
      </w:r>
    </w:p>
    <w:p>
      <w:pPr>
        <w:pStyle w:val="5"/>
        <w:bidi w:val="0"/>
        <w:rPr>
          <w:rFonts w:hint="eastAsia"/>
          <w:b/>
          <w:lang w:val="en-US" w:eastAsia="zh-CN"/>
        </w:rPr>
      </w:pPr>
      <w:bookmarkStart w:id="6" w:name="_Toc23413"/>
      <w:r>
        <w:rPr>
          <w:rFonts w:hint="eastAsia"/>
          <w:b/>
          <w:lang w:val="en-US" w:eastAsia="zh-CN"/>
        </w:rPr>
        <w:t>条件预检</w:t>
      </w:r>
      <w:bookmarkEnd w:id="6"/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当用户选择需要办理药品经营许可证时，则需要校验条件“申请单位未拥有药品经营许可证”</w:t>
      </w:r>
    </w:p>
    <w:p>
      <w:pPr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符合条件才能继续办理，不符合条件只能返回上一步。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9205"/>
            <wp:effectExtent l="0" t="0" r="10160" b="4445"/>
            <wp:docPr id="4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当用户只选择办理食品经营许可时，无任何校验条件，预检页面可直接点击下一步跳过。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bookmarkStart w:id="7" w:name="_Toc22738"/>
      <w:r>
        <w:rPr>
          <w:rFonts w:hint="eastAsia" w:ascii="宋体" w:hAnsi="宋体" w:eastAsia="宋体" w:cs="宋体"/>
          <w:lang w:val="en-US" w:eastAsia="zh-CN"/>
        </w:rPr>
        <w:t>填报须知</w:t>
      </w:r>
      <w:bookmarkEnd w:id="7"/>
    </w:p>
    <w:p>
      <w:pPr>
        <w:ind w:firstLine="42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此页面为申报当前一件事的填报须知内容，请申请用户仔细阅读并勾选“我已阅读以上填报须知”，等待倒计时读秒结束后点击下一步进入填表页面。</w:t>
      </w:r>
    </w:p>
    <w:p>
      <w:pPr/>
      <w:r>
        <w:drawing>
          <wp:inline distT="0" distB="0" distL="114300" distR="114300">
            <wp:extent cx="5266690" cy="2529205"/>
            <wp:effectExtent l="0" t="0" r="10160" b="4445"/>
            <wp:docPr id="4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4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bookmarkStart w:id="8" w:name="_Toc21516"/>
      <w:r>
        <w:rPr>
          <w:rFonts w:hint="eastAsia" w:ascii="宋体" w:hAnsi="宋体" w:eastAsia="宋体" w:cs="宋体"/>
          <w:lang w:val="en-US" w:eastAsia="zh-CN"/>
        </w:rPr>
        <w:t>智能填表</w:t>
      </w:r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进入智能填表页面，展示当前一件事办理时需要填写的表单字段，根据用户选择办理的事项不同，展示的表单项也不同。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表单一共分为几部分，字段中标记为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为必填字段。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当用户申报到表单页填写内容暂时不进行提交时，点击暂存，可以将当前办件信息存储至草稿箱，后续进入草稿箱继续填报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企业基本信息（通用）</w:t>
      </w:r>
    </w:p>
    <w:p>
      <w:pPr/>
      <w:r>
        <w:drawing>
          <wp:inline distT="0" distB="0" distL="114300" distR="114300">
            <wp:extent cx="5267325" cy="1655445"/>
            <wp:effectExtent l="0" t="0" r="9525" b="1905"/>
            <wp:docPr id="5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360" w:lineRule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企业名称、统一社会信用代码为获取当前登录法人用户的信息。</w:t>
      </w:r>
    </w:p>
    <w:p>
      <w:pPr>
        <w:pStyle w:val="2"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其余字段为用户手动录入信息。</w:t>
      </w:r>
    </w:p>
    <w:p>
      <w:pPr>
        <w:pStyle w:val="6"/>
        <w:bidi w:val="0"/>
      </w:pPr>
      <w:r>
        <w:rPr>
          <w:rFonts w:hint="eastAsia"/>
          <w:lang w:val="en-US" w:eastAsia="zh-CN"/>
        </w:rPr>
        <w:t>企业负责人信息（通用）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企业负责人信息中法人姓名、证件类型、证件号码、联系电话、经办人、经办人移动电话、经办人身份证号均为通过当前登录企业获取到的数据，除证件类型外均可修改。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573270" cy="2633980"/>
            <wp:effectExtent l="0" t="0" r="17780" b="13970"/>
            <wp:docPr id="5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327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食品经营许可设立信息</w:t>
      </w:r>
      <w:r>
        <w:rPr>
          <w:rFonts w:hint="eastAsia"/>
          <w:lang w:val="en-US" w:eastAsia="zh-CN"/>
        </w:rPr>
        <w:t>（办理食品经营许可事项）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食品事项许可事项经营场所市为沈阳市，主体业态为默认</w:t>
      </w:r>
    </w:p>
    <w:p>
      <w:pPr/>
      <w:r>
        <w:drawing>
          <wp:inline distT="0" distB="0" distL="114300" distR="114300">
            <wp:extent cx="5273040" cy="6438900"/>
            <wp:effectExtent l="0" t="0" r="3810" b="0"/>
            <wp:docPr id="5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486150" cy="2514600"/>
            <wp:effectExtent l="0" t="0" r="0" b="0"/>
            <wp:docPr id="5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721100" cy="1854200"/>
            <wp:effectExtent l="0" t="0" r="12700" b="12700"/>
            <wp:docPr id="5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211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3492500" cy="2254250"/>
            <wp:effectExtent l="0" t="0" r="12700" b="12700"/>
            <wp:docPr id="5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9250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当选择是否外设仓库为是时，外设仓库地址和外设仓库面积为必填，选否则不需要填写。</w:t>
      </w:r>
    </w:p>
    <w:p>
      <w:pPr>
        <w:pStyle w:val="2"/>
      </w:pPr>
      <w:r>
        <w:drawing>
          <wp:inline distT="0" distB="0" distL="114300" distR="114300">
            <wp:extent cx="5266055" cy="586740"/>
            <wp:effectExtent l="0" t="0" r="10795" b="3810"/>
            <wp:docPr id="5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经营方式为多选字段</w:t>
      </w:r>
    </w:p>
    <w:p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经营项目为多选字段，可以多选一级的类型，或者针对一级类型下的二级类型进行单选，最终在上方查看选中的项目数据。</w:t>
      </w:r>
    </w:p>
    <w:p>
      <w:pPr>
        <w:pStyle w:val="2"/>
        <w:rPr>
          <w:rFonts w:hint="default"/>
          <w:lang w:val="en-US" w:eastAsia="zh-CN"/>
        </w:rPr>
      </w:pPr>
      <w:r>
        <w:drawing>
          <wp:inline distT="0" distB="0" distL="114300" distR="114300">
            <wp:extent cx="3683000" cy="2730500"/>
            <wp:effectExtent l="0" t="0" r="12700" b="12700"/>
            <wp:docPr id="5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273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食品经营许可证邮寄信息</w:t>
      </w:r>
      <w:r>
        <w:rPr>
          <w:rFonts w:hint="eastAsia"/>
          <w:lang w:val="en-US" w:eastAsia="zh-CN"/>
        </w:rPr>
        <w:t>（办理食品经营许可事项）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当用户办理食品经营许可证时，需要填写邮寄信息，根据选择为当场领取/自行打印，无需填写收件人信息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1674495"/>
            <wp:effectExtent l="0" t="0" r="5715" b="1905"/>
            <wp:docPr id="6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若选择为邮寄，则需填写收件人、地址、电话</w:t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《药品经营许可证》（零售）核发（办理药品经营许可事项）</w:t>
      </w:r>
    </w:p>
    <w:p>
      <w:pPr/>
      <w:r>
        <w:drawing>
          <wp:inline distT="0" distB="0" distL="114300" distR="114300">
            <wp:extent cx="4168775" cy="7121525"/>
            <wp:effectExtent l="0" t="0" r="3175" b="3175"/>
            <wp:docPr id="6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712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当用户选择办理药品经营许可证事项时，展示上方字段。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根据选择不同的企业类型，需填写不同的字段。</w:t>
      </w:r>
    </w:p>
    <w:p>
      <w:pPr>
        <w:pStyle w:val="2"/>
      </w:pPr>
      <w:r>
        <w:drawing>
          <wp:inline distT="0" distB="0" distL="114300" distR="114300">
            <wp:extent cx="3530600" cy="1562100"/>
            <wp:effectExtent l="0" t="0" r="12700" b="0"/>
            <wp:docPr id="6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3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770" cy="1402080"/>
            <wp:effectExtent l="0" t="0" r="5080" b="7620"/>
            <wp:docPr id="6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1408430"/>
            <wp:effectExtent l="0" t="0" r="5715" b="1270"/>
            <wp:docPr id="6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1849120"/>
            <wp:effectExtent l="0" t="0" r="10160" b="17780"/>
            <wp:docPr id="6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3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涉及</w:t>
      </w:r>
      <w:bookmarkStart w:id="11" w:name="_GoBack"/>
      <w:bookmarkEnd w:id="11"/>
      <w:r>
        <w:rPr>
          <w:rFonts w:hint="eastAsia"/>
          <w:lang w:val="en-US" w:eastAsia="zh-CN"/>
        </w:rPr>
        <w:t>人数的字段需要填写纯数字。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医疗器械经营许可证信息</w:t>
      </w:r>
      <w:r>
        <w:rPr>
          <w:rFonts w:hint="eastAsia"/>
          <w:lang w:val="en-US" w:eastAsia="zh-CN"/>
        </w:rPr>
        <w:t>（办理医疗器械经营事项）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当用户选择办理医疗器械事项时，展示如下内容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7325" cy="5506720"/>
            <wp:effectExtent l="0" t="0" r="9525" b="17780"/>
            <wp:docPr id="6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55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申请事项可选择二类或三类或二类及三类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3587750" cy="1714500"/>
            <wp:effectExtent l="0" t="0" r="12700" b="0"/>
            <wp:docPr id="6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企业经营方式：多选，前三个类型只能选中一个，最后一个可以和前三个进行拼接。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3790950" cy="571500"/>
            <wp:effectExtent l="0" t="0" r="0" b="0"/>
            <wp:docPr id="6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当用户选择申请事项为二类及三类时，则展示二类经营范围&amp;三类经营范围，根据办理事项不同展示对应的经营范围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865" cy="490220"/>
            <wp:effectExtent l="0" t="0" r="6985" b="5080"/>
            <wp:docPr id="7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1577975"/>
            <wp:effectExtent l="0" t="0" r="8255" b="3175"/>
            <wp:docPr id="7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设施设备信息</w:t>
      </w:r>
      <w:r>
        <w:rPr>
          <w:rFonts w:hint="eastAsia"/>
          <w:lang w:val="en-US" w:eastAsia="zh-CN"/>
        </w:rPr>
        <w:t>（办理药品经营许可事项）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办理药品经营许可事项时，需要新增设施设备信息，当前字段需要点击新增，当前企业需要上报多少设施设备则新增多少条数据。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913130"/>
            <wp:effectExtent l="0" t="0" r="8255" b="1270"/>
            <wp:docPr id="7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72405" cy="2122170"/>
            <wp:effectExtent l="0" t="0" r="4445" b="11430"/>
            <wp:docPr id="7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4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输入信息后点击保存。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8595" cy="749300"/>
            <wp:effectExtent l="0" t="0" r="8255" b="12700"/>
            <wp:docPr id="7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点击右侧X则删除该条数据，若点击预览，则按顺序展示列表，点击此条数据则为编辑。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774825"/>
            <wp:effectExtent l="0" t="0" r="10160" b="15875"/>
            <wp:docPr id="7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从业人员信息</w:t>
      </w:r>
      <w:r>
        <w:rPr>
          <w:rFonts w:hint="eastAsia"/>
          <w:lang w:val="en-US" w:eastAsia="zh-CN"/>
        </w:rPr>
        <w:t>（办理药品经营许可事项）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当前企业需要添加多少从业人员信息，则新增多少条数据</w:t>
      </w:r>
    </w:p>
    <w:p>
      <w:pPr/>
      <w:r>
        <w:drawing>
          <wp:inline distT="0" distB="0" distL="114300" distR="114300">
            <wp:extent cx="5273040" cy="1196975"/>
            <wp:effectExtent l="0" t="0" r="3810" b="3175"/>
            <wp:docPr id="7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0500" cy="4055745"/>
            <wp:effectExtent l="0" t="0" r="6350" b="1905"/>
            <wp:docPr id="7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05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3321050" cy="1282700"/>
            <wp:effectExtent l="0" t="0" r="12700" b="12700"/>
            <wp:docPr id="7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相关身份证号存在格式校验。</w:t>
      </w:r>
    </w:p>
    <w:p>
      <w:pPr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bookmarkStart w:id="9" w:name="_Toc11867"/>
      <w:r>
        <w:rPr>
          <w:rFonts w:hint="eastAsia" w:ascii="宋体" w:hAnsi="宋体" w:eastAsia="宋体" w:cs="宋体"/>
          <w:lang w:val="en-US" w:eastAsia="zh-CN"/>
        </w:rPr>
        <w:t>材料提交</w:t>
      </w:r>
      <w:bookmarkEnd w:id="9"/>
    </w:p>
    <w:p>
      <w:pPr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根据用户选择办理不同的事项，需要上传不同的材料，所有事项申报时材料如下</w:t>
      </w:r>
    </w:p>
    <w:p>
      <w:pPr/>
      <w:r>
        <w:drawing>
          <wp:inline distT="0" distB="0" distL="114300" distR="114300">
            <wp:extent cx="5266055" cy="3690620"/>
            <wp:effectExtent l="0" t="0" r="1079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69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点击选择文件，从本地文件管理上传相关文件至当前页面，材料格式限制，不满足的类型文件上传后显示如下弹窗。</w:t>
      </w:r>
    </w:p>
    <w:p>
      <w:pPr/>
      <w:r>
        <w:drawing>
          <wp:inline distT="0" distB="0" distL="114300" distR="114300">
            <wp:extent cx="5266690" cy="2529205"/>
            <wp:effectExtent l="0" t="0" r="1016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点击上传的文件后，即可预览当前文件。</w:t>
      </w:r>
    </w:p>
    <w:p>
      <w:pPr/>
      <w:r>
        <w:drawing>
          <wp:inline distT="0" distB="0" distL="114300" distR="114300">
            <wp:extent cx="5266690" cy="2529205"/>
            <wp:effectExtent l="0" t="0" r="1016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点击文件后侧垃圾桶删除文件。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当确认表单填写无误和材料上传无误后，点击提交，展示提交是否成功。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5"/>
        <w:bidi w:val="0"/>
        <w:rPr>
          <w:rFonts w:hint="eastAsia" w:ascii="宋体" w:hAnsi="宋体" w:eastAsia="宋体" w:cs="宋体"/>
          <w:lang w:val="en-US" w:eastAsia="zh-CN"/>
        </w:rPr>
      </w:pPr>
      <w:bookmarkStart w:id="10" w:name="_Toc2470"/>
      <w:r>
        <w:rPr>
          <w:rFonts w:hint="eastAsia" w:ascii="宋体" w:hAnsi="宋体" w:eastAsia="宋体" w:cs="宋体"/>
          <w:lang w:val="en-US" w:eastAsia="zh-CN"/>
        </w:rPr>
        <w:t>申报完成</w:t>
      </w:r>
      <w:bookmarkEnd w:id="10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提交成功后，展示提示弹窗，点击确定，展示返回主页和我的办件按钮，返回主页跳转至主题解读页面，点击我的办件后跳转至当前用户的办件本数据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529205"/>
            <wp:effectExtent l="0" t="0" r="1016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529205"/>
            <wp:effectExtent l="0" t="0" r="1016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b w:val="0"/>
          <w:bCs/>
          <w:color w:val="000000"/>
          <w:sz w:val="32"/>
          <w:szCs w:val="32"/>
          <w:shd w:val="clear" w:color="auto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34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moder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decorative"/>
    <w:pitch w:val="default"/>
    <w:sig w:usb0="E4002EFF" w:usb1="C200247B" w:usb2="00000009" w:usb3="00000000" w:csb0="200001FF" w:csb1="00000000"/>
    <w:embedRegular r:id="rId1" w:fontKey="{451F5369-86A3-486F-9696-576DE808A3E8}"/>
  </w:font>
  <w:font w:name="Arial">
    <w:panose1 w:val="020B0604020202020204"/>
    <w:charset w:val="01"/>
    <w:family w:val="decorative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swiss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moder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swiss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roman"/>
    <w:pitch w:val="default"/>
    <w:sig w:usb0="E4002EFF" w:usb1="C200247B" w:usb2="00000009" w:usb3="00000000" w:csb0="200001FF" w:csb1="00000000"/>
  </w:font>
  <w:font w:name="Arial">
    <w:panose1 w:val="020B0604020202020204"/>
    <w:charset w:val="01"/>
    <w:family w:val="roman"/>
    <w:pitch w:val="default"/>
    <w:sig w:usb0="E0002EFF" w:usb1="C000785B" w:usb2="00000009" w:usb3="00000000" w:csb0="400001FF" w:csb1="FFFF0000"/>
  </w:font>
  <w:font w:name="Courier New">
    <w:panose1 w:val="02070309020205020404"/>
    <w:charset w:val="01"/>
    <w:family w:val="decorative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方正小标宋简体">
    <w:altName w:val="Arial Unicode MS"/>
    <w:panose1 w:val="02000000000000000000"/>
    <w:charset w:val="86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9D0F0EF-F008-4199-904C-524182605913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2964534418">
    <w:nsid w:val="B0B33492"/>
    <w:multiLevelType w:val="multilevel"/>
    <w:tmpl w:val="B0B33492"/>
    <w:lvl w:ilvl="0" w:tentative="1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1">
      <w:start w:val="1"/>
      <w:numFmt w:val="decimal"/>
      <w:pStyle w:val="4"/>
      <w:isLgl/>
      <w:lvlText w:val="%1.%2."/>
      <w:lvlJc w:val="left"/>
      <w:pPr>
        <w:ind w:left="575" w:hanging="575"/>
      </w:pPr>
      <w:rPr>
        <w:rFonts w:hint="eastAsia"/>
      </w:rPr>
    </w:lvl>
    <w:lvl w:ilvl="2" w:tentative="1">
      <w:start w:val="1"/>
      <w:numFmt w:val="decimal"/>
      <w:pStyle w:val="5"/>
      <w:isLgl/>
      <w:lvlText w:val="%1.%2.%3."/>
      <w:lvlJc w:val="left"/>
      <w:pPr>
        <w:ind w:left="720" w:hanging="720"/>
      </w:pPr>
      <w:rPr>
        <w:rFonts w:hint="eastAsia"/>
      </w:rPr>
    </w:lvl>
    <w:lvl w:ilvl="3" w:tentative="1">
      <w:start w:val="1"/>
      <w:numFmt w:val="decimal"/>
      <w:pStyle w:val="6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1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1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1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1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1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29645344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RkMmMwNDNhODk4MjdjYjVkNDc5MzBhY2JkMzdjMGEifQ=="/>
  </w:docVars>
  <w:rsids>
    <w:rsidRoot w:val="00000000"/>
    <w:rsid w:val="09E33DCA"/>
    <w:rsid w:val="0E63608D"/>
    <w:rsid w:val="1E872F77"/>
    <w:rsid w:val="268B161A"/>
    <w:rsid w:val="328706BC"/>
    <w:rsid w:val="36390DDC"/>
    <w:rsid w:val="36FF3037"/>
    <w:rsid w:val="6D18424F"/>
    <w:rsid w:val="6DC01176"/>
    <w:rsid w:val="6EEA37CD"/>
    <w:rsid w:val="78201B8E"/>
    <w:rsid w:val="7D2B2025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4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paragraph" w:styleId="5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6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2" Type="http://schemas.openxmlformats.org/officeDocument/2006/relationships/fontTable" Target="fontTable.xml"/><Relationship Id="rId51" Type="http://schemas.openxmlformats.org/officeDocument/2006/relationships/numbering" Target="numbering.xml"/><Relationship Id="rId50" Type="http://schemas.openxmlformats.org/officeDocument/2006/relationships/customXml" Target="../customXml/item1.xml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744</Words>
  <Characters>763</Characters>
  <Lines>0</Lines>
  <Paragraphs>0</Paragraphs>
  <ScaleCrop>false</ScaleCrop>
  <LinksUpToDate>false</LinksUpToDate>
  <CharactersWithSpaces>794</CharactersWithSpaces>
  <Application>WPS Office_10.8.0.5391_F1E327BC-269C-435d-A152-05C5408002CA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2024-03-25T05:48:00Z</dcterms:created>
  <dc:creator>sunwei</dc:creator>
  <cp:lastModifiedBy>永远的流浪者</cp:lastModifiedBy>
  <dcterms:modified xsi:type="dcterms:W3CDTF">2024-06-11T03:16:33Z</dcterms:modified>
  <dc:title>开药店一件事-沈阳市</dc:title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2052-10.8.0.5391</vt:lpwstr>
  </property>
  <property fmtid="{D5CDD505-2E9C-101B-9397-08002B2CF9AE}" pid="3" name="ICV">
    <vt:lpwstr>21BCD43C38164C379A80C147CE970756_13</vt:lpwstr>
  </property>
</Properties>
</file>