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0037</w:t>
      </w:r>
      <w:r>
        <w:rPr>
          <w:rFonts w:hint="eastAsia" w:ascii="仿宋" w:hAnsi="仿宋" w:eastAsia="仿宋" w:cs="仿宋"/>
          <w:sz w:val="32"/>
          <w:szCs w:val="32"/>
        </w:rPr>
        <w:t>号</w:t>
      </w:r>
    </w:p>
    <w:p w14:paraId="23DE992A">
      <w:pPr>
        <w:adjustRightInd w:val="0"/>
        <w:snapToGrid w:val="0"/>
        <w:spacing w:line="520" w:lineRule="exact"/>
        <w:ind w:firstLine="660"/>
        <w:jc w:val="center"/>
        <w:rPr>
          <w:rFonts w:hint="eastAsia" w:ascii="仿宋" w:hAnsi="仿宋" w:eastAsia="仿宋" w:cs="仿宋"/>
          <w:sz w:val="32"/>
          <w:szCs w:val="32"/>
        </w:rPr>
      </w:pPr>
    </w:p>
    <w:p w14:paraId="2BCE9DFA">
      <w:pPr>
        <w:rPr>
          <w:rFonts w:hint="eastAsia" w:ascii="仿宋" w:hAnsi="仿宋" w:eastAsia="仿宋" w:cs="仿宋"/>
          <w:sz w:val="32"/>
          <w:szCs w:val="32"/>
        </w:rPr>
      </w:pPr>
      <w:r>
        <w:rPr>
          <w:rFonts w:hint="eastAsia" w:ascii="仿宋" w:hAnsi="仿宋" w:eastAsia="仿宋" w:cs="仿宋"/>
          <w:sz w:val="32"/>
          <w:szCs w:val="32"/>
        </w:rPr>
        <w:t>沈阳康宝源医疗器械有限公司：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23</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BCA4782"/>
    <w:rsid w:val="0FC847E3"/>
    <w:rsid w:val="14844AC6"/>
    <w:rsid w:val="1C2F3057"/>
    <w:rsid w:val="22DB19BC"/>
    <w:rsid w:val="23BB026B"/>
    <w:rsid w:val="28514DA9"/>
    <w:rsid w:val="2E9C4295"/>
    <w:rsid w:val="2EA07805"/>
    <w:rsid w:val="2F9A385A"/>
    <w:rsid w:val="30B7122D"/>
    <w:rsid w:val="38665C38"/>
    <w:rsid w:val="3B5053A4"/>
    <w:rsid w:val="410B7759"/>
    <w:rsid w:val="43BA6B20"/>
    <w:rsid w:val="48792086"/>
    <w:rsid w:val="4C7D29CB"/>
    <w:rsid w:val="5B221447"/>
    <w:rsid w:val="60D52E34"/>
    <w:rsid w:val="650514A0"/>
    <w:rsid w:val="7282150D"/>
    <w:rsid w:val="788409B9"/>
    <w:rsid w:val="7A18311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2024-09-06T08:44:32Z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