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756D5D">
        <w:rPr>
          <w:rFonts w:ascii="仿宋" w:eastAsia="仿宋" w:hAnsi="仿宋" w:cs="仿宋" w:hint="eastAsia"/>
          <w:sz w:val="32"/>
          <w:szCs w:val="32"/>
          <w:u w:val="single"/>
        </w:rPr>
        <w:t>66</w:t>
      </w:r>
      <w:r>
        <w:rPr>
          <w:rFonts w:ascii="仿宋" w:eastAsia="仿宋" w:hAnsi="仿宋" w:cs="仿宋" w:hint="eastAsia"/>
          <w:sz w:val="32"/>
          <w:szCs w:val="32"/>
        </w:rPr>
        <w:t>号</w:t>
      </w:r>
    </w:p>
    <w:p w:rsidR="00537468" w:rsidRPr="00C813F0" w:rsidRDefault="00756D5D" w:rsidP="00756D5D">
      <w:pPr>
        <w:adjustRightInd w:val="0"/>
        <w:snapToGrid w:val="0"/>
        <w:spacing w:beforeLines="50" w:line="480" w:lineRule="exact"/>
        <w:jc w:val="left"/>
        <w:rPr>
          <w:rFonts w:ascii="仿宋" w:eastAsia="仿宋" w:hAnsi="仿宋" w:cs="仿宋"/>
          <w:sz w:val="32"/>
          <w:szCs w:val="32"/>
        </w:rPr>
      </w:pPr>
      <w:r w:rsidRPr="00756D5D">
        <w:rPr>
          <w:rFonts w:ascii="仿宋" w:eastAsia="仿宋" w:hAnsi="仿宋" w:cs="仿宋" w:hint="eastAsia"/>
          <w:sz w:val="32"/>
          <w:szCs w:val="32"/>
        </w:rPr>
        <w:t>沈阳歆德企业管理咨询服务有限公司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CC5FCB">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A26C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98B" w:rsidRDefault="00E6598B" w:rsidP="00537468">
      <w:r>
        <w:separator/>
      </w:r>
    </w:p>
  </w:endnote>
  <w:endnote w:type="continuationSeparator" w:id="1">
    <w:p w:rsidR="00E6598B" w:rsidRDefault="00E6598B"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98B" w:rsidRDefault="00E6598B" w:rsidP="00537468">
      <w:r>
        <w:separator/>
      </w:r>
    </w:p>
  </w:footnote>
  <w:footnote w:type="continuationSeparator" w:id="1">
    <w:p w:rsidR="00E6598B" w:rsidRDefault="00E6598B"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 w:val="00756D5D"/>
    <w:rsid w:val="00A26CA4"/>
    <w:rsid w:val="00CC5FCB"/>
    <w:rsid w:val="00E659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2024-09-13T07:14:00Z</dcterms:modified>
</cp:coreProperties>
</file>