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auto"/>
          <w:sz w:val="44"/>
          <w:szCs w:val="44"/>
        </w:rPr>
      </w:pPr>
      <w:r>
        <w:rPr>
          <w:rFonts w:hint="eastAsia" w:ascii="宋体" w:hAnsi="宋体" w:cs="方正小标宋简体"/>
          <w:bCs/>
          <w:color w:val="auto"/>
          <w:sz w:val="44"/>
          <w:szCs w:val="44"/>
          <w:u w:val="single"/>
        </w:rPr>
        <w:t>沈阳市铁西区</w:t>
      </w:r>
      <w:r>
        <w:rPr>
          <w:rFonts w:hint="eastAsia" w:ascii="宋体" w:hAnsi="宋体" w:cs="方正小标宋简体"/>
          <w:bCs/>
          <w:color w:val="auto"/>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063</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辽宁法拉菲环保科技有限公司</w:t>
      </w:r>
      <w:r>
        <w:rPr>
          <w:rFonts w:hint="eastAsia" w:ascii="仿宋" w:hAnsi="仿宋" w:eastAsia="仿宋" w:cs="仿宋"/>
          <w:color w:val="auto"/>
          <w:sz w:val="32"/>
          <w:szCs w:val="32"/>
        </w:rPr>
        <w:t>：</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color w:val="auto"/>
          <w:kern w:val="1"/>
          <w:sz w:val="32"/>
          <w:szCs w:val="32"/>
        </w:rPr>
        <w:t>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_GB2312"/>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auto"/>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color w:val="auto"/>
          <w:spacing w:val="5"/>
          <w:sz w:val="32"/>
          <w:szCs w:val="32"/>
        </w:rPr>
      </w:pPr>
    </w:p>
    <w:p w14:paraId="44330070">
      <w:pPr>
        <w:adjustRightInd w:val="0"/>
        <w:snapToGrid w:val="0"/>
        <w:spacing w:line="360" w:lineRule="auto"/>
        <w:ind w:firstLine="640" w:firstLineChars="200"/>
        <w:rPr>
          <w:rFonts w:ascii="仿宋" w:hAnsi="仿宋" w:eastAsia="仿宋" w:cs="仿宋"/>
          <w:color w:val="auto"/>
          <w:sz w:val="32"/>
          <w:szCs w:val="32"/>
        </w:rPr>
      </w:pPr>
    </w:p>
    <w:p w14:paraId="0DE1A8E3">
      <w:pPr>
        <w:adjustRightInd w:val="0"/>
        <w:snapToGrid w:val="0"/>
        <w:spacing w:line="360" w:lineRule="auto"/>
        <w:ind w:firstLine="640" w:firstLineChars="200"/>
        <w:rPr>
          <w:rFonts w:ascii="仿宋" w:hAnsi="仿宋" w:eastAsia="仿宋" w:cs="仿宋"/>
          <w:color w:val="auto"/>
          <w:sz w:val="32"/>
          <w:szCs w:val="32"/>
        </w:rPr>
      </w:pPr>
    </w:p>
    <w:p w14:paraId="480FF97B">
      <w:pPr>
        <w:adjustRightInd w:val="0"/>
        <w:snapToGrid w:val="0"/>
        <w:spacing w:line="360" w:lineRule="auto"/>
        <w:ind w:firstLine="640" w:firstLineChars="200"/>
        <w:rPr>
          <w:rFonts w:ascii="仿宋" w:hAnsi="仿宋" w:eastAsia="仿宋" w:cs="仿宋"/>
          <w:color w:val="auto"/>
          <w:sz w:val="32"/>
          <w:szCs w:val="32"/>
        </w:rPr>
      </w:pPr>
    </w:p>
    <w:p w14:paraId="6FE14941">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color w:val="auto"/>
          <w:sz w:val="32"/>
          <w:szCs w:val="32"/>
        </w:rPr>
      </w:pPr>
    </w:p>
    <w:p w14:paraId="6C44DAF0">
      <w:pPr>
        <w:adjustRightInd w:val="0"/>
        <w:snapToGrid w:val="0"/>
        <w:spacing w:line="480" w:lineRule="exact"/>
        <w:ind w:firstLine="640" w:firstLineChars="200"/>
        <w:rPr>
          <w:rFonts w:ascii="仿宋" w:hAnsi="仿宋" w:eastAsia="仿宋" w:cs="仿宋"/>
          <w:color w:val="auto"/>
          <w:sz w:val="32"/>
          <w:szCs w:val="32"/>
        </w:rPr>
      </w:pPr>
    </w:p>
    <w:p w14:paraId="1CBAC7EE">
      <w:pPr>
        <w:adjustRightInd w:val="0"/>
        <w:snapToGrid w:val="0"/>
        <w:ind w:firstLine="3520" w:firstLineChars="1100"/>
        <w:rPr>
          <w:rFonts w:ascii="仿宋" w:hAnsi="仿宋" w:eastAsia="仿宋" w:cs="仿宋_GB2312"/>
          <w:color w:val="auto"/>
          <w:sz w:val="32"/>
          <w:szCs w:val="32"/>
          <w:u w:val="single"/>
        </w:rPr>
      </w:pPr>
    </w:p>
    <w:p w14:paraId="749CAF9C">
      <w:pPr>
        <w:adjustRightInd w:val="0"/>
        <w:snapToGrid w:val="0"/>
        <w:ind w:firstLine="3520" w:firstLineChars="1100"/>
        <w:rPr>
          <w:rFonts w:ascii="仿宋" w:hAnsi="仿宋" w:eastAsia="仿宋" w:cs="仿宋_GB2312"/>
          <w:color w:val="auto"/>
          <w:sz w:val="32"/>
          <w:szCs w:val="32"/>
          <w:u w:val="single"/>
        </w:rPr>
      </w:pPr>
    </w:p>
    <w:p w14:paraId="0B43747F">
      <w:pPr>
        <w:adjustRightInd w:val="0"/>
        <w:snapToGrid w:val="0"/>
        <w:ind w:firstLine="3520" w:firstLineChars="1100"/>
        <w:rPr>
          <w:rFonts w:ascii="仿宋" w:hAnsi="仿宋" w:eastAsia="仿宋" w:cs="仿宋_GB2312"/>
          <w:color w:val="auto"/>
          <w:sz w:val="32"/>
          <w:szCs w:val="32"/>
          <w:u w:val="single"/>
        </w:rPr>
      </w:pPr>
    </w:p>
    <w:p w14:paraId="0620E17B">
      <w:pPr>
        <w:adjustRightInd w:val="0"/>
        <w:snapToGrid w:val="0"/>
        <w:ind w:firstLine="3520" w:firstLineChars="1100"/>
        <w:rPr>
          <w:rFonts w:ascii="仿宋" w:hAnsi="仿宋" w:eastAsia="仿宋" w:cs="仿宋_GB2312"/>
          <w:color w:val="auto"/>
          <w:sz w:val="32"/>
          <w:szCs w:val="32"/>
        </w:rPr>
      </w:pPr>
      <w:r>
        <w:rPr>
          <w:rFonts w:hint="eastAsia" w:ascii="仿宋" w:hAnsi="仿宋" w:eastAsia="仿宋" w:cs="仿宋_GB2312"/>
          <w:color w:val="auto"/>
          <w:sz w:val="32"/>
          <w:szCs w:val="32"/>
        </w:rPr>
        <w:t>沈阳市铁西区市场监督管理局</w:t>
      </w:r>
    </w:p>
    <w:p w14:paraId="6CD0A574">
      <w:pPr>
        <w:adjustRightInd w:val="0"/>
        <w:snapToGrid w:val="0"/>
        <w:rPr>
          <w:rFonts w:ascii="仿宋" w:hAnsi="仿宋" w:eastAsia="仿宋" w:cs="仿宋_GB2312"/>
          <w:color w:val="auto"/>
          <w:sz w:val="32"/>
          <w:szCs w:val="32"/>
        </w:rPr>
      </w:pPr>
      <w:r>
        <w:rPr>
          <w:rFonts w:hint="eastAsia" w:ascii="仿宋" w:hAnsi="仿宋" w:eastAsia="仿宋" w:cs="仿宋_GB2312"/>
          <w:color w:val="auto"/>
          <w:sz w:val="32"/>
          <w:szCs w:val="32"/>
        </w:rPr>
        <w:t xml:space="preserve">                          </w:t>
      </w:r>
      <w:r>
        <w:rPr>
          <w:rFonts w:hint="eastAsia" w:ascii="仿宋" w:hAnsi="仿宋" w:eastAsia="仿宋" w:cs="仿宋_GB2312"/>
          <w:color w:val="auto"/>
          <w:sz w:val="32"/>
          <w:szCs w:val="32"/>
          <w:u w:val="single" w:color="FFFFFF"/>
        </w:rPr>
        <w:t>2024</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u w:val="single" w:color="FFFFFF"/>
          <w:lang w:val="en-US" w:eastAsia="zh-CN"/>
        </w:rPr>
        <w:t>09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auto"/>
          <w:sz w:val="32"/>
          <w:szCs w:val="32"/>
        </w:rPr>
        <w:t>日</w:t>
      </w:r>
    </w:p>
    <w:p w14:paraId="60A7901A">
      <w:pPr>
        <w:adjustRightInd w:val="0"/>
        <w:snapToGrid w:val="0"/>
        <w:ind w:firstLine="601"/>
        <w:jc w:val="right"/>
        <w:rPr>
          <w:rFonts w:ascii="仿宋" w:hAnsi="仿宋" w:eastAsia="仿宋" w:cs="仿宋"/>
          <w:color w:val="auto"/>
          <w:sz w:val="32"/>
          <w:szCs w:val="32"/>
        </w:rPr>
      </w:pPr>
    </w:p>
    <w:p w14:paraId="3461BAF2">
      <w:pPr>
        <w:adjustRightInd w:val="0"/>
        <w:snapToGrid w:val="0"/>
        <w:ind w:firstLine="601"/>
        <w:jc w:val="right"/>
        <w:rPr>
          <w:rFonts w:ascii="仿宋" w:hAnsi="仿宋" w:eastAsia="仿宋" w:cs="仿宋"/>
          <w:color w:val="auto"/>
          <w:sz w:val="32"/>
          <w:szCs w:val="32"/>
        </w:rPr>
      </w:pPr>
    </w:p>
    <w:p w14:paraId="0A9898FB">
      <w:pPr>
        <w:spacing w:line="360" w:lineRule="auto"/>
        <w:ind w:right="233" w:rightChars="111"/>
        <w:rPr>
          <w:rFonts w:ascii="仿宋_GB2312" w:hAnsi="仿宋_GB2312" w:eastAsia="仿宋_GB2312" w:cs="仿宋_GB2312"/>
          <w:b/>
          <w:bCs/>
          <w:color w:val="auto"/>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48754CF"/>
    <w:rsid w:val="12E52961"/>
    <w:rsid w:val="1532049C"/>
    <w:rsid w:val="2F010D87"/>
    <w:rsid w:val="31264419"/>
    <w:rsid w:val="3EC45BDE"/>
    <w:rsid w:val="409E7120"/>
    <w:rsid w:val="52092FE8"/>
    <w:rsid w:val="617938E3"/>
    <w:rsid w:val="681A17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1554</Words>
  <Characters>1638</Characters>
  <Lines>102</Lines>
  <Paragraphs>28</Paragraphs>
  <TotalTime>1</TotalTime>
  <ScaleCrop>false</ScaleCrop>
  <LinksUpToDate>false</LinksUpToDate>
  <CharactersWithSpaces>1821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2024-09-14T08:07:25Z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