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003</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auto"/>
          <w:sz w:val="32"/>
          <w:szCs w:val="32"/>
        </w:rPr>
        <w:t>沈阳明乐大宅企业管理咨询有限公司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832778E"/>
    <w:rsid w:val="12E52961"/>
    <w:rsid w:val="1532049C"/>
    <w:rsid w:val="18837761"/>
    <w:rsid w:val="31264419"/>
    <w:rsid w:val="37D56607"/>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1637</Characters>
  <Lines>102</Lines>
  <Paragraphs>28</Paragraphs>
  <TotalTime>150</TotalTime>
  <ScaleCrop>false</ScaleCrop>
  <LinksUpToDate>false</LinksUpToDate>
  <CharactersWithSpaces>1822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2024-09-10T01:31:00Z</cp:lastPrinted>
  <dcterms:modified xsi:type="dcterms:W3CDTF">2024-09-14T07:21:29Z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