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color w:val="auto"/>
          <w:sz w:val="44"/>
          <w:szCs w:val="44"/>
        </w:rPr>
      </w:pPr>
      <w:r>
        <w:rPr>
          <w:rFonts w:hint="eastAsia" w:ascii="宋体" w:hAnsi="宋体" w:cs="方正小标宋简体"/>
          <w:bCs/>
          <w:color w:val="auto"/>
          <w:sz w:val="44"/>
          <w:szCs w:val="44"/>
          <w:u w:val="single"/>
        </w:rPr>
        <w:t>沈阳市铁西区</w:t>
      </w:r>
      <w:r>
        <w:rPr>
          <w:rFonts w:hint="eastAsia" w:ascii="宋体" w:hAnsi="宋体" w:cs="方正小标宋简体"/>
          <w:bCs/>
          <w:color w:val="auto"/>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color w:val="auto"/>
          <w:sz w:val="44"/>
          <w:szCs w:val="44"/>
        </w:rPr>
      </w:pPr>
      <w:r>
        <w:rPr>
          <w:rFonts w:hint="eastAsia" w:ascii="宋体" w:hAnsi="宋体" w:cs="方正小标宋简体"/>
          <w:color w:val="auto"/>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009</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沈阳远达物流货运代理有限公司</w:t>
      </w:r>
      <w:r>
        <w:rPr>
          <w:rFonts w:hint="eastAsia" w:ascii="仿宋" w:hAnsi="仿宋" w:eastAsia="仿宋" w:cs="仿宋"/>
          <w:color w:val="auto"/>
          <w:sz w:val="32"/>
          <w:szCs w:val="32"/>
        </w:rPr>
        <w:t>：</w:t>
      </w:r>
    </w:p>
    <w:p w14:paraId="0FAC4355">
      <w:pPr>
        <w:ind w:firstLine="640" w:firstLineChars="200"/>
        <w:rPr>
          <w:rFonts w:ascii="仿宋" w:hAnsi="仿宋" w:eastAsia="仿宋"/>
          <w:color w:val="auto"/>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rPr>
        <w:t>2</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w:t>
      </w:r>
      <w:r>
        <w:rPr>
          <w:rFonts w:hint="eastAsia" w:ascii="仿宋" w:hAnsi="仿宋" w:eastAsia="仿宋"/>
          <w:color w:val="auto"/>
          <w:kern w:val="1"/>
          <w:sz w:val="32"/>
          <w:szCs w:val="32"/>
        </w:rPr>
        <w:t>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rPr>
        <w:t>2</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06</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经过实地检查确认通过营业执照登记的住所或经营场所无法与企业取得联系。</w:t>
      </w:r>
      <w:r>
        <w:rPr>
          <w:rFonts w:hint="eastAsia" w:ascii="仿宋" w:hAnsi="仿宋" w:eastAsia="仿宋" w:cs="仿宋"/>
          <w:color w:val="auto"/>
          <w:sz w:val="32"/>
          <w:szCs w:val="32"/>
        </w:rPr>
        <w:t>你（单位）上述行为</w:t>
      </w:r>
      <w:r>
        <w:rPr>
          <w:rFonts w:hint="eastAsia" w:ascii="仿宋" w:hAnsi="仿宋" w:eastAsia="仿宋" w:cs="仿宋_GB2312"/>
          <w:color w:val="auto"/>
          <w:sz w:val="32"/>
          <w:szCs w:val="32"/>
        </w:rPr>
        <w:t>违反了《企业信息公示暂行条例》</w:t>
      </w:r>
      <w:r>
        <w:rPr>
          <w:rFonts w:hint="eastAsia" w:ascii="仿宋" w:hAnsi="仿宋" w:eastAsia="仿宋" w:cs="仿宋_GB2312"/>
          <w:color w:val="auto"/>
          <w:kern w:val="1"/>
          <w:sz w:val="32"/>
          <w:szCs w:val="32"/>
        </w:rPr>
        <w:t>第八条： “</w:t>
      </w:r>
      <w:r>
        <w:rPr>
          <w:rFonts w:ascii="仿宋" w:hAnsi="仿宋" w:eastAsia="仿宋" w:cs="Helvetica"/>
          <w:color w:val="auto"/>
          <w:spacing w:val="8"/>
          <w:kern w:val="0"/>
          <w:sz w:val="32"/>
          <w:szCs w:val="32"/>
        </w:rPr>
        <w:t>企业应当于每年</w:t>
      </w:r>
      <w:r>
        <w:rPr>
          <w:rFonts w:hint="eastAsia" w:ascii="仿宋" w:hAnsi="仿宋" w:eastAsia="仿宋" w:cs="宋体"/>
          <w:color w:val="auto"/>
          <w:spacing w:val="8"/>
          <w:kern w:val="0"/>
          <w:sz w:val="32"/>
          <w:szCs w:val="32"/>
        </w:rPr>
        <w:t>1月1日至6月30日，通过</w:t>
      </w:r>
      <w:r>
        <w:rPr>
          <w:rFonts w:ascii="仿宋" w:hAnsi="仿宋" w:eastAsia="仿宋" w:cs="Helvetica"/>
          <w:color w:val="auto"/>
          <w:spacing w:val="8"/>
          <w:kern w:val="0"/>
          <w:sz w:val="32"/>
          <w:szCs w:val="32"/>
        </w:rPr>
        <w:t>国家企业信用信息公示系统向市场监督管理部门报送上一年度年度报告，并向社会公示。</w:t>
      </w:r>
      <w:r>
        <w:rPr>
          <w:rFonts w:hint="eastAsia" w:ascii="仿宋" w:hAnsi="仿宋" w:eastAsia="仿宋" w:cs="仿宋_GB2312"/>
          <w:color w:val="auto"/>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_GB2312"/>
          <w:color w:val="auto"/>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color w:val="auto"/>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color w:val="auto"/>
          <w:spacing w:val="5"/>
          <w:sz w:val="32"/>
          <w:szCs w:val="32"/>
        </w:rPr>
      </w:pPr>
    </w:p>
    <w:p w14:paraId="44330070">
      <w:pPr>
        <w:adjustRightInd w:val="0"/>
        <w:snapToGrid w:val="0"/>
        <w:spacing w:line="360" w:lineRule="auto"/>
        <w:ind w:firstLine="640" w:firstLineChars="200"/>
        <w:rPr>
          <w:rFonts w:ascii="仿宋" w:hAnsi="仿宋" w:eastAsia="仿宋" w:cs="仿宋"/>
          <w:color w:val="auto"/>
          <w:sz w:val="32"/>
          <w:szCs w:val="32"/>
        </w:rPr>
      </w:pPr>
    </w:p>
    <w:p w14:paraId="0DE1A8E3">
      <w:pPr>
        <w:adjustRightInd w:val="0"/>
        <w:snapToGrid w:val="0"/>
        <w:spacing w:line="360" w:lineRule="auto"/>
        <w:ind w:firstLine="640" w:firstLineChars="200"/>
        <w:rPr>
          <w:rFonts w:ascii="仿宋" w:hAnsi="仿宋" w:eastAsia="仿宋" w:cs="仿宋"/>
          <w:color w:val="auto"/>
          <w:sz w:val="32"/>
          <w:szCs w:val="32"/>
        </w:rPr>
      </w:pPr>
    </w:p>
    <w:p w14:paraId="480FF97B">
      <w:pPr>
        <w:adjustRightInd w:val="0"/>
        <w:snapToGrid w:val="0"/>
        <w:spacing w:line="360" w:lineRule="auto"/>
        <w:ind w:firstLine="640" w:firstLineChars="200"/>
        <w:rPr>
          <w:rFonts w:ascii="仿宋" w:hAnsi="仿宋" w:eastAsia="仿宋" w:cs="仿宋"/>
          <w:color w:val="auto"/>
          <w:sz w:val="32"/>
          <w:szCs w:val="32"/>
        </w:rPr>
      </w:pPr>
    </w:p>
    <w:p w14:paraId="6FE14941">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color w:val="auto"/>
          <w:sz w:val="32"/>
          <w:szCs w:val="32"/>
        </w:rPr>
      </w:pPr>
    </w:p>
    <w:p w14:paraId="6C44DAF0">
      <w:pPr>
        <w:adjustRightInd w:val="0"/>
        <w:snapToGrid w:val="0"/>
        <w:spacing w:line="480" w:lineRule="exact"/>
        <w:ind w:firstLine="640" w:firstLineChars="200"/>
        <w:rPr>
          <w:rFonts w:ascii="仿宋" w:hAnsi="仿宋" w:eastAsia="仿宋" w:cs="仿宋"/>
          <w:color w:val="auto"/>
          <w:sz w:val="32"/>
          <w:szCs w:val="32"/>
        </w:rPr>
      </w:pPr>
    </w:p>
    <w:p w14:paraId="10DEB106">
      <w:pPr>
        <w:adjustRightInd w:val="0"/>
        <w:snapToGrid w:val="0"/>
        <w:spacing w:line="48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u w:val="single"/>
        </w:rPr>
        <w:t>系地址联系</w:t>
      </w:r>
    </w:p>
    <w:p w14:paraId="1CBAC7EE">
      <w:pPr>
        <w:adjustRightInd w:val="0"/>
        <w:snapToGrid w:val="0"/>
        <w:ind w:firstLine="3520" w:firstLineChars="1100"/>
        <w:rPr>
          <w:rFonts w:ascii="仿宋" w:hAnsi="仿宋" w:eastAsia="仿宋" w:cs="仿宋_GB2312"/>
          <w:color w:val="auto"/>
          <w:sz w:val="32"/>
          <w:szCs w:val="32"/>
          <w:u w:val="single"/>
        </w:rPr>
      </w:pPr>
    </w:p>
    <w:p w14:paraId="749CAF9C">
      <w:pPr>
        <w:adjustRightInd w:val="0"/>
        <w:snapToGrid w:val="0"/>
        <w:ind w:firstLine="3520" w:firstLineChars="1100"/>
        <w:rPr>
          <w:rFonts w:ascii="仿宋" w:hAnsi="仿宋" w:eastAsia="仿宋" w:cs="仿宋_GB2312"/>
          <w:color w:val="auto"/>
          <w:sz w:val="32"/>
          <w:szCs w:val="32"/>
          <w:u w:val="single"/>
        </w:rPr>
      </w:pPr>
    </w:p>
    <w:p w14:paraId="0B43747F">
      <w:pPr>
        <w:adjustRightInd w:val="0"/>
        <w:snapToGrid w:val="0"/>
        <w:ind w:firstLine="3520" w:firstLineChars="1100"/>
        <w:rPr>
          <w:rFonts w:ascii="仿宋" w:hAnsi="仿宋" w:eastAsia="仿宋" w:cs="仿宋_GB2312"/>
          <w:color w:val="auto"/>
          <w:sz w:val="32"/>
          <w:szCs w:val="32"/>
          <w:u w:val="single"/>
        </w:rPr>
      </w:pPr>
    </w:p>
    <w:p w14:paraId="0620E17B">
      <w:pPr>
        <w:adjustRightInd w:val="0"/>
        <w:snapToGrid w:val="0"/>
        <w:ind w:firstLine="3520" w:firstLineChars="1100"/>
        <w:rPr>
          <w:rFonts w:ascii="仿宋" w:hAnsi="仿宋" w:eastAsia="仿宋" w:cs="仿宋_GB2312"/>
          <w:color w:val="auto"/>
          <w:sz w:val="32"/>
          <w:szCs w:val="32"/>
        </w:rPr>
      </w:pPr>
      <w:r>
        <w:rPr>
          <w:rFonts w:hint="eastAsia" w:ascii="仿宋" w:hAnsi="仿宋" w:eastAsia="仿宋" w:cs="仿宋_GB2312"/>
          <w:color w:val="auto"/>
          <w:sz w:val="32"/>
          <w:szCs w:val="32"/>
        </w:rPr>
        <w:t>沈阳市铁西区市场监督管理局</w:t>
      </w:r>
    </w:p>
    <w:p w14:paraId="6CD0A574">
      <w:pPr>
        <w:adjustRightInd w:val="0"/>
        <w:snapToGrid w:val="0"/>
        <w:rPr>
          <w:rFonts w:ascii="仿宋" w:hAnsi="仿宋" w:eastAsia="仿宋" w:cs="仿宋_GB2312"/>
          <w:color w:val="auto"/>
          <w:sz w:val="32"/>
          <w:szCs w:val="32"/>
        </w:rPr>
      </w:pPr>
      <w:r>
        <w:rPr>
          <w:rFonts w:hint="eastAsia" w:ascii="仿宋" w:hAnsi="仿宋" w:eastAsia="仿宋" w:cs="仿宋_GB2312"/>
          <w:color w:val="auto"/>
          <w:sz w:val="32"/>
          <w:szCs w:val="32"/>
        </w:rPr>
        <w:t xml:space="preserve">                          </w:t>
      </w:r>
      <w:r>
        <w:rPr>
          <w:rFonts w:hint="eastAsia" w:ascii="仿宋" w:hAnsi="仿宋" w:eastAsia="仿宋" w:cs="仿宋_GB2312"/>
          <w:color w:val="auto"/>
          <w:sz w:val="32"/>
          <w:szCs w:val="32"/>
          <w:u w:val="single" w:color="FFFFFF"/>
        </w:rPr>
        <w:t>2024</w:t>
      </w:r>
      <w:r>
        <w:rPr>
          <w:rFonts w:hint="eastAsia" w:ascii="仿宋" w:hAnsi="仿宋" w:eastAsia="仿宋" w:cs="仿宋_GB2312"/>
          <w:color w:val="auto"/>
          <w:sz w:val="32"/>
          <w:szCs w:val="32"/>
        </w:rPr>
        <w:t>年</w:t>
      </w:r>
      <w:r>
        <w:rPr>
          <w:rFonts w:hint="eastAsia" w:ascii="仿宋" w:hAnsi="仿宋" w:eastAsia="仿宋" w:cs="仿宋_GB2312"/>
          <w:color w:val="auto"/>
          <w:sz w:val="32"/>
          <w:szCs w:val="32"/>
          <w:u w:val="single" w:color="FFFFFF"/>
          <w:lang w:val="en-US" w:eastAsia="zh-CN"/>
        </w:rPr>
        <w:t>09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auto"/>
          <w:sz w:val="32"/>
          <w:szCs w:val="32"/>
        </w:rPr>
        <w:t>日</w:t>
      </w:r>
    </w:p>
    <w:p w14:paraId="60A7901A">
      <w:pPr>
        <w:adjustRightInd w:val="0"/>
        <w:snapToGrid w:val="0"/>
        <w:ind w:firstLine="601"/>
        <w:jc w:val="right"/>
        <w:rPr>
          <w:rFonts w:ascii="仿宋" w:hAnsi="仿宋" w:eastAsia="仿宋" w:cs="仿宋"/>
          <w:color w:val="auto"/>
          <w:sz w:val="32"/>
          <w:szCs w:val="32"/>
        </w:rPr>
      </w:pPr>
    </w:p>
    <w:p w14:paraId="0A9898FB">
      <w:pPr>
        <w:spacing w:line="360" w:lineRule="auto"/>
        <w:ind w:right="233" w:rightChars="111"/>
        <w:rPr>
          <w:rFonts w:ascii="仿宋_GB2312" w:hAnsi="仿宋_GB2312" w:eastAsia="仿宋_GB2312" w:cs="仿宋_GB2312"/>
          <w:b/>
          <w:bCs/>
          <w:color w:val="auto"/>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1F7D553E"/>
    <w:rsid w:val="2F010D87"/>
    <w:rsid w:val="31264419"/>
    <w:rsid w:val="409E7120"/>
    <w:rsid w:val="40FA1FFE"/>
    <w:rsid w:val="41F05F08"/>
    <w:rsid w:val="488C5052"/>
    <w:rsid w:val="52092FE8"/>
    <w:rsid w:val="61E246F6"/>
    <w:rsid w:val="72E70F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1633</Characters>
  <Lines>102</Lines>
  <Paragraphs>28</Paragraphs>
  <TotalTime>150</TotalTime>
  <ScaleCrop>false</ScaleCrop>
  <LinksUpToDate>false</LinksUpToDate>
  <CharactersWithSpaces>1813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2024-09-10T01:43:00Z</cp:lastPrinted>
  <dcterms:modified xsi:type="dcterms:W3CDTF">2024-09-14T07:24:29Z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