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102</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_GB2312" w:hAnsi="仿宋_GB2312" w:eastAsia="仿宋_GB2312" w:cs="仿宋"/>
          <w:sz w:val="32"/>
          <w:szCs w:val="32"/>
          <w:u w:val="single"/>
        </w:rPr>
        <w:t xml:space="preserve">沈阳昱晖服装商行 </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本局于2024年9月13日依法对你（单位）作出《沈阳市铁西区市场监督管理局行政处罚告知书（沈西市监凌罚告〔2024〕102号）》，因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附：1、《行政处罚告知书》(沈西市监凌罚告〔2024〕102号)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rPr>
          <w:rFonts w:ascii="仿宋_GB2312" w:hAnsi="仿宋_GB2312" w:eastAsia="仿宋_GB2312"/>
          <w:sz w:val="20"/>
          <w:szCs w:val="18"/>
          <w:u w:val="single"/>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0F40DC"/>
    <w:rsid w:val="000F40DC"/>
    <w:rsid w:val="004F747E"/>
    <w:rsid w:val="005F75F7"/>
    <w:rsid w:val="49C32776"/>
    <w:rsid w:val="6B8269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630</Words>
  <Characters>3597</Characters>
  <Lines>29</Lines>
  <Paragraphs>8</Paragraphs>
  <TotalTime>1</TotalTime>
  <ScaleCrop>false</ScaleCrop>
  <LinksUpToDate>false</LinksUpToDate>
  <CharactersWithSpaces>4219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2024-09-14T07:08:54Z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83B318F403E94FCF99A4E193407EC86A_12</vt:lpwstr>
  </property>
</Properties>
</file>