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方正小标宋简体" w:hAnsi="方正小标宋简体" w:eastAsia="方正小标宋简体"/>
          <w:bCs/>
          <w:color w:val="auto"/>
          <w:sz w:val="44"/>
          <w:szCs w:val="44"/>
          <w:u w:val="single"/>
        </w:rPr>
      </w:pPr>
      <w:bookmarkStart w:id="0" w:name="_GoBack"/>
      <w:r>
        <w:rPr>
          <w:rFonts w:hint="eastAsia" w:ascii="方正小标宋简体" w:hAnsi="方正小标宋简体" w:eastAsia="方正小标宋简体"/>
          <w:bCs/>
          <w:color w:val="auto"/>
          <w:sz w:val="44"/>
          <w:szCs w:val="44"/>
          <w:u w:val="single"/>
        </w:rPr>
        <w:t>沈阳市铁西区</w:t>
      </w:r>
      <w:r>
        <w:rPr>
          <w:rFonts w:hint="eastAsia" w:ascii="方正小标宋简体" w:hAnsi="方正小标宋简体" w:eastAsia="方正小标宋简体"/>
          <w:bCs/>
          <w:color w:val="auto"/>
          <w:sz w:val="44"/>
          <w:szCs w:val="44"/>
        </w:rPr>
        <w:t>市场监督管理局</w:t>
      </w:r>
    </w:p>
    <w:p>
      <w:pPr>
        <w:spacing w:line="640" w:lineRule="exact"/>
        <w:jc w:val="center"/>
        <w:outlineLvl w:val="0"/>
        <w:rPr>
          <w:rFonts w:hint="eastAsia" w:ascii="Times New Roman" w:hAnsi="方正小标宋简体" w:eastAsia="方正小标宋简体"/>
          <w:bCs/>
          <w:color w:val="auto"/>
          <w:sz w:val="44"/>
          <w:szCs w:val="44"/>
        </w:rPr>
      </w:pPr>
      <w:r>
        <w:rPr>
          <w:rFonts w:hint="eastAsia" w:ascii="Times New Roman" w:hAnsi="方正小标宋简体" w:eastAsia="方正小标宋简体"/>
          <w:bCs/>
          <w:color w:val="auto"/>
          <w:sz w:val="44"/>
          <w:szCs w:val="44"/>
        </w:rPr>
        <w:t>行政处罚文书送达公告</w:t>
      </w:r>
    </w:p>
    <w:p>
      <w:pPr>
        <w:spacing w:line="600" w:lineRule="exact"/>
        <w:jc w:val="center"/>
        <w:rPr>
          <w:rFonts w:hint="eastAsia" w:ascii="Times New Roman" w:hAnsi="Times New Roman" w:eastAsia="仿宋_GB2312"/>
          <w:bCs/>
          <w:color w:val="auto"/>
          <w:sz w:val="32"/>
          <w:szCs w:val="32"/>
          <w:u w:val="single"/>
        </w:rPr>
      </w:pPr>
      <w:r>
        <w:rPr>
          <w:rFonts w:hint="eastAsia" w:ascii="Times New Roman" w:hAnsi="Times New Roman" w:eastAsia="仿宋_GB2312"/>
          <w:bCs/>
          <w:color w:val="auto"/>
          <w:sz w:val="32"/>
          <w:szCs w:val="32"/>
          <w:u w:val="single"/>
        </w:rPr>
        <w:t>沈西</w:t>
      </w:r>
      <w:r>
        <w:rPr>
          <w:rFonts w:hint="eastAsia" w:ascii="Times New Roman" w:hAnsi="Times New Roman" w:eastAsia="仿宋_GB2312"/>
          <w:bCs/>
          <w:color w:val="auto"/>
          <w:sz w:val="32"/>
          <w:szCs w:val="32"/>
        </w:rPr>
        <w:t>市监</w:t>
      </w:r>
      <w:r>
        <w:rPr>
          <w:rFonts w:hint="eastAsia" w:ascii="Times New Roman" w:hAnsi="Times New Roman" w:eastAsia="仿宋_GB2312"/>
          <w:bCs/>
          <w:color w:val="auto"/>
          <w:sz w:val="32"/>
          <w:szCs w:val="32"/>
          <w:lang w:eastAsia="zh-CN"/>
        </w:rPr>
        <w:t>兴顺</w:t>
      </w:r>
      <w:r>
        <w:rPr>
          <w:rFonts w:hint="eastAsia" w:ascii="Times New Roman" w:hAnsi="Times New Roman" w:eastAsia="仿宋_GB2312"/>
          <w:bCs/>
          <w:color w:val="auto"/>
          <w:sz w:val="32"/>
          <w:szCs w:val="32"/>
        </w:rPr>
        <w:t>罚送告〔</w:t>
      </w:r>
      <w:r>
        <w:rPr>
          <w:rFonts w:hint="eastAsia" w:ascii="Times New Roman" w:hAnsi="Times New Roman" w:eastAsia="仿宋_GB2312"/>
          <w:bCs/>
          <w:color w:val="auto"/>
          <w:sz w:val="32"/>
          <w:szCs w:val="32"/>
          <w:u w:val="single"/>
        </w:rPr>
        <w:t>2024</w:t>
      </w:r>
      <w:r>
        <w:rPr>
          <w:rFonts w:hint="eastAsia" w:ascii="Times New Roman" w:hAnsi="Times New Roman" w:eastAsia="仿宋_GB2312"/>
          <w:bCs/>
          <w:color w:val="auto"/>
          <w:sz w:val="32"/>
          <w:szCs w:val="32"/>
        </w:rPr>
        <w:t>〕</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053</w:t>
      </w:r>
      <w:r>
        <w:rPr>
          <w:rFonts w:hint="eastAsia" w:ascii="Times New Roman" w:hAnsi="Times New Roman" w:eastAsia="仿宋_GB2312"/>
          <w:bCs/>
          <w:color w:val="auto"/>
          <w:sz w:val="32"/>
          <w:szCs w:val="32"/>
        </w:rPr>
        <w:t>号</w:t>
      </w:r>
    </w:p>
    <w:p>
      <w:pPr>
        <w:spacing w:line="560" w:lineRule="exact"/>
        <w:jc w:val="center"/>
        <w:rPr>
          <w:rFonts w:ascii="Times New Roman" w:hAnsi="Times New Roman" w:eastAsia="仿宋_GB2312"/>
          <w:bCs/>
          <w:color w:val="auto"/>
          <w:sz w:val="32"/>
          <w:szCs w:val="32"/>
        </w:rPr>
      </w:pPr>
    </w:p>
    <w:p>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sz w:val="32"/>
          <w:szCs w:val="32"/>
          <w:u w:val="single"/>
          <w:lang w:eastAsia="zh-CN"/>
        </w:rPr>
        <w:t>沈阳道济医疗器械有限公司</w:t>
      </w:r>
      <w:r>
        <w:rPr>
          <w:rFonts w:hint="eastAsia" w:ascii="仿宋_GB2312" w:hAnsi="黑体" w:eastAsia="仿宋_GB2312"/>
          <w:color w:val="auto"/>
          <w:sz w:val="32"/>
          <w:szCs w:val="32"/>
        </w:rPr>
        <w:t>：</w:t>
      </w: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本局于2024年</w:t>
      </w:r>
      <w:r>
        <w:rPr>
          <w:rFonts w:hint="eastAsia" w:ascii="仿宋" w:hAnsi="仿宋" w:eastAsia="仿宋"/>
          <w:color w:val="auto"/>
          <w:sz w:val="32"/>
          <w:szCs w:val="32"/>
          <w:shd w:val="clear" w:color="auto" w:fill="FFFFFF"/>
          <w:lang w:val="en-US" w:eastAsia="zh-CN"/>
        </w:rPr>
        <w:t>9</w:t>
      </w:r>
      <w:r>
        <w:rPr>
          <w:rFonts w:hint="eastAsia" w:ascii="仿宋" w:hAnsi="仿宋" w:eastAsia="仿宋"/>
          <w:color w:val="auto"/>
          <w:sz w:val="32"/>
          <w:szCs w:val="32"/>
          <w:shd w:val="clear" w:color="auto" w:fill="FFFFFF"/>
        </w:rPr>
        <w:t>月</w:t>
      </w:r>
      <w:r>
        <w:rPr>
          <w:rFonts w:hint="eastAsia" w:ascii="仿宋" w:hAnsi="仿宋" w:eastAsia="仿宋"/>
          <w:color w:val="auto"/>
          <w:sz w:val="32"/>
          <w:szCs w:val="32"/>
          <w:shd w:val="clear" w:color="auto" w:fill="FFFFFF"/>
          <w:lang w:val="en-US" w:eastAsia="zh-CN"/>
        </w:rPr>
        <w:t>13</w:t>
      </w:r>
      <w:r>
        <w:rPr>
          <w:rFonts w:hint="eastAsia" w:ascii="仿宋" w:hAnsi="仿宋" w:eastAsia="仿宋"/>
          <w:color w:val="auto"/>
          <w:sz w:val="32"/>
          <w:szCs w:val="32"/>
          <w:shd w:val="clear" w:color="auto" w:fill="FFFFFF"/>
        </w:rPr>
        <w:t>日依法对你（单位）作出《沈阳市铁西区市场监督管理局行政处罚告知书（沈西市监</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shd w:val="clear" w:color="auto" w:fill="FFFFFF"/>
        </w:rPr>
        <w:t>罚告〔2024〕</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053</w:t>
      </w:r>
      <w:r>
        <w:rPr>
          <w:rFonts w:hint="eastAsia" w:ascii="仿宋" w:hAnsi="仿宋" w:eastAsia="仿宋"/>
          <w:color w:val="auto"/>
          <w:sz w:val="32"/>
          <w:szCs w:val="32"/>
          <w:shd w:val="clear" w:color="auto" w:fill="FFFFFF"/>
        </w:rPr>
        <w:t>号）》，因</w:t>
      </w:r>
      <w:r>
        <w:rPr>
          <w:rFonts w:hint="eastAsia" w:ascii="仿宋" w:hAnsi="仿宋" w:eastAsia="仿宋"/>
          <w:color w:val="auto"/>
          <w:sz w:val="32"/>
          <w:szCs w:val="32"/>
        </w:rPr>
        <w:t>下落不明/采取其他送达方式无法送达</w:t>
      </w:r>
      <w:r>
        <w:rPr>
          <w:rFonts w:hint="eastAsia" w:ascii="仿宋" w:hAnsi="仿宋" w:eastAsia="仿宋"/>
          <w:color w:val="auto"/>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color w:val="auto"/>
        </w:rPr>
        <w:t xml:space="preserve"> </w:t>
      </w:r>
      <w:r>
        <w:rPr>
          <w:rFonts w:hint="eastAsia" w:ascii="仿宋" w:hAnsi="仿宋" w:eastAsia="仿宋"/>
          <w:color w:val="auto"/>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olor w:val="auto"/>
          <w:sz w:val="32"/>
          <w:szCs w:val="32"/>
        </w:rPr>
        <w:t>违反了《企业信息公示暂行条例》</w:t>
      </w:r>
      <w:r>
        <w:rPr>
          <w:rFonts w:hint="eastAsia" w:ascii="仿宋" w:hAnsi="仿宋" w:eastAsia="仿宋"/>
          <w:color w:val="auto"/>
          <w:kern w:val="1"/>
          <w:sz w:val="32"/>
          <w:szCs w:val="32"/>
        </w:rPr>
        <w:t>第八条： “</w:t>
      </w:r>
      <w:r>
        <w:rPr>
          <w:rFonts w:ascii="仿宋" w:hAnsi="仿宋" w:eastAsia="仿宋"/>
          <w:color w:val="auto"/>
          <w:spacing w:val="8"/>
          <w:kern w:val="0"/>
          <w:sz w:val="32"/>
          <w:szCs w:val="32"/>
        </w:rPr>
        <w:t>企业应当于每年</w:t>
      </w:r>
      <w:r>
        <w:rPr>
          <w:rFonts w:hint="eastAsia" w:ascii="仿宋" w:hAnsi="仿宋" w:eastAsia="仿宋"/>
          <w:color w:val="auto"/>
          <w:spacing w:val="8"/>
          <w:kern w:val="0"/>
          <w:sz w:val="32"/>
          <w:szCs w:val="32"/>
        </w:rPr>
        <w:t>1月1日至6月30日，通过</w:t>
      </w:r>
      <w:r>
        <w:rPr>
          <w:rFonts w:ascii="仿宋" w:hAnsi="仿宋" w:eastAsia="仿宋"/>
          <w:color w:val="auto"/>
          <w:spacing w:val="8"/>
          <w:kern w:val="0"/>
          <w:sz w:val="32"/>
          <w:szCs w:val="32"/>
        </w:rPr>
        <w:t>国家企业信用信息公示系统向市场监督管理部门报送上一年度年度报告，并向社会公示。</w:t>
      </w:r>
      <w:r>
        <w:rPr>
          <w:rFonts w:hint="eastAsia" w:ascii="仿宋" w:hAnsi="仿宋" w:eastAsia="仿宋"/>
          <w:color w:val="auto"/>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 w:hAnsi="仿宋" w:eastAsia="仿宋"/>
          <w:color w:val="auto"/>
          <w:kern w:val="1"/>
          <w:sz w:val="32"/>
          <w:szCs w:val="32"/>
        </w:rPr>
      </w:pPr>
      <w:r>
        <w:rPr>
          <w:rFonts w:hint="eastAsia" w:ascii="仿宋" w:hAnsi="仿宋" w:eastAsia="仿宋"/>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olor w:val="auto"/>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ascii="仿宋" w:hAnsi="仿宋" w:eastAsia="仿宋"/>
          <w:color w:val="auto"/>
          <w:sz w:val="32"/>
          <w:szCs w:val="32"/>
          <w:shd w:val="clear" w:color="auto" w:fill="FFFFFF"/>
        </w:rPr>
      </w:pP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 xml:space="preserve">联系人：  </w:t>
      </w:r>
      <w:r>
        <w:rPr>
          <w:rFonts w:hint="eastAsia" w:ascii="仿宋" w:hAnsi="仿宋" w:eastAsia="仿宋"/>
          <w:color w:val="auto"/>
          <w:sz w:val="32"/>
          <w:szCs w:val="32"/>
          <w:shd w:val="clear" w:color="auto" w:fill="FFFFFF"/>
          <w:lang w:eastAsia="zh-CN"/>
        </w:rPr>
        <w:t>崔博</w:t>
      </w:r>
      <w:r>
        <w:rPr>
          <w:rFonts w:hint="eastAsia" w:ascii="仿宋" w:hAnsi="仿宋" w:eastAsia="仿宋"/>
          <w:color w:val="auto"/>
          <w:sz w:val="32"/>
          <w:szCs w:val="32"/>
          <w:shd w:val="clear" w:color="auto" w:fill="FFFFFF"/>
        </w:rPr>
        <w:t xml:space="preserve">  </w:t>
      </w:r>
      <w:r>
        <w:rPr>
          <w:rFonts w:hint="eastAsia" w:ascii="仿宋" w:hAnsi="仿宋" w:eastAsia="仿宋"/>
          <w:color w:val="auto"/>
          <w:sz w:val="32"/>
          <w:szCs w:val="32"/>
          <w:shd w:val="clear" w:color="auto" w:fill="FFFFFF"/>
          <w:lang w:eastAsia="zh-CN"/>
        </w:rPr>
        <w:t>史天瑶</w:t>
      </w:r>
      <w:r>
        <w:rPr>
          <w:rFonts w:hint="eastAsia" w:ascii="仿宋" w:hAnsi="仿宋" w:eastAsia="仿宋"/>
          <w:color w:val="auto"/>
          <w:sz w:val="32"/>
          <w:szCs w:val="32"/>
          <w:shd w:val="clear" w:color="auto" w:fill="FFFFFF"/>
        </w:rPr>
        <w:t xml:space="preserve">  联系电话： </w:t>
      </w:r>
      <w:r>
        <w:rPr>
          <w:rFonts w:ascii="仿宋" w:hAnsi="仿宋" w:eastAsia="仿宋"/>
          <w:color w:val="auto"/>
          <w:sz w:val="32"/>
          <w:szCs w:val="32"/>
          <w:shd w:val="clear" w:color="auto" w:fill="FFFFFF"/>
        </w:rPr>
        <w:t>024-</w:t>
      </w:r>
      <w:r>
        <w:rPr>
          <w:rFonts w:hint="eastAsia" w:ascii="仿宋" w:hAnsi="仿宋" w:eastAsia="仿宋"/>
          <w:color w:val="auto"/>
          <w:sz w:val="32"/>
          <w:szCs w:val="32"/>
          <w:shd w:val="clear" w:color="auto" w:fill="FFFFFF"/>
          <w:lang w:val="en-US" w:eastAsia="zh-CN"/>
        </w:rPr>
        <w:t>25493705</w:t>
      </w:r>
      <w:r>
        <w:rPr>
          <w:rFonts w:ascii="仿宋" w:hAnsi="仿宋" w:eastAsia="仿宋"/>
          <w:color w:val="auto"/>
          <w:sz w:val="32"/>
          <w:szCs w:val="32"/>
          <w:shd w:val="clear" w:color="auto" w:fill="FFFFFF"/>
        </w:rPr>
        <w:t xml:space="preserve"> </w:t>
      </w:r>
      <w:r>
        <w:rPr>
          <w:rFonts w:hint="eastAsia" w:ascii="仿宋" w:hAnsi="仿宋" w:eastAsia="仿宋"/>
          <w:color w:val="auto"/>
          <w:sz w:val="32"/>
          <w:szCs w:val="32"/>
          <w:shd w:val="clear" w:color="auto" w:fill="FFFFFF"/>
        </w:rPr>
        <w:t xml:space="preserve">             </w:t>
      </w:r>
      <w:r>
        <w:rPr>
          <w:rFonts w:ascii="仿宋" w:hAnsi="仿宋" w:eastAsia="仿宋"/>
          <w:color w:val="auto"/>
          <w:sz w:val="32"/>
          <w:szCs w:val="32"/>
          <w:shd w:val="clear" w:color="auto" w:fill="FFFFFF"/>
        </w:rPr>
        <w:t xml:space="preserve">    </w:t>
      </w: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 xml:space="preserve">联系地址：  </w:t>
      </w:r>
      <w:r>
        <w:rPr>
          <w:rFonts w:hint="eastAsia" w:ascii="仿宋" w:hAnsi="仿宋" w:eastAsia="仿宋"/>
          <w:color w:val="auto"/>
          <w:sz w:val="32"/>
          <w:szCs w:val="32"/>
          <w:shd w:val="clear" w:color="auto" w:fill="FFFFFF"/>
          <w:lang w:eastAsia="zh-CN"/>
        </w:rPr>
        <w:t>沈阳市铁西区保工南街</w:t>
      </w:r>
      <w:r>
        <w:rPr>
          <w:rFonts w:hint="eastAsia" w:ascii="仿宋" w:hAnsi="仿宋" w:eastAsia="仿宋"/>
          <w:color w:val="auto"/>
          <w:sz w:val="32"/>
          <w:szCs w:val="32"/>
          <w:shd w:val="clear" w:color="auto" w:fill="FFFFFF"/>
          <w:lang w:val="en-US" w:eastAsia="zh-CN"/>
        </w:rPr>
        <w:t>57号</w:t>
      </w:r>
      <w:r>
        <w:rPr>
          <w:rFonts w:hint="eastAsia" w:ascii="仿宋" w:hAnsi="仿宋" w:eastAsia="仿宋"/>
          <w:color w:val="auto"/>
          <w:sz w:val="32"/>
          <w:szCs w:val="32"/>
          <w:shd w:val="clear" w:color="auto" w:fill="FFFFFF"/>
        </w:rPr>
        <w:t xml:space="preserve">   </w:t>
      </w:r>
    </w:p>
    <w:p>
      <w:pPr>
        <w:tabs>
          <w:tab w:val="left" w:pos="4715"/>
        </w:tabs>
        <w:spacing w:line="560" w:lineRule="exact"/>
        <w:ind w:firstLine="4337" w:firstLineChars="1350"/>
        <w:jc w:val="left"/>
        <w:rPr>
          <w:rFonts w:ascii="仿宋" w:hAnsi="仿宋" w:eastAsia="仿宋"/>
          <w:b/>
          <w:color w:val="auto"/>
          <w:sz w:val="32"/>
          <w:szCs w:val="32"/>
        </w:rPr>
      </w:pPr>
    </w:p>
    <w:p>
      <w:pPr>
        <w:tabs>
          <w:tab w:val="left" w:pos="4715"/>
        </w:tabs>
        <w:spacing w:line="560" w:lineRule="exact"/>
        <w:ind w:left="1598" w:leftChars="304" w:hanging="960" w:hangingChars="300"/>
        <w:jc w:val="left"/>
        <w:rPr>
          <w:rFonts w:hint="eastAsia" w:ascii="仿宋" w:hAnsi="仿宋" w:eastAsia="仿宋"/>
          <w:color w:val="auto"/>
          <w:sz w:val="32"/>
          <w:szCs w:val="32"/>
        </w:rPr>
      </w:pPr>
      <w:r>
        <w:rPr>
          <w:rFonts w:hint="eastAsia" w:ascii="仿宋" w:hAnsi="仿宋" w:eastAsia="仿宋"/>
          <w:color w:val="auto"/>
          <w:sz w:val="32"/>
          <w:szCs w:val="32"/>
        </w:rPr>
        <w:t>附：1、《行政处罚告知书》(沈西市监</w:t>
      </w:r>
      <w:r>
        <w:rPr>
          <w:rFonts w:hint="eastAsia" w:ascii="仿宋" w:hAnsi="仿宋" w:eastAsia="仿宋"/>
          <w:color w:val="auto"/>
          <w:sz w:val="32"/>
          <w:szCs w:val="32"/>
          <w:lang w:eastAsia="zh-CN"/>
        </w:rPr>
        <w:t>兴顺</w:t>
      </w:r>
      <w:r>
        <w:rPr>
          <w:rFonts w:hint="eastAsia" w:ascii="仿宋" w:hAnsi="仿宋" w:eastAsia="仿宋"/>
          <w:color w:val="auto"/>
          <w:sz w:val="32"/>
          <w:szCs w:val="32"/>
        </w:rPr>
        <w:t>罚告〔2024〕</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053</w:t>
      </w:r>
      <w:r>
        <w:rPr>
          <w:rFonts w:hint="eastAsia" w:ascii="仿宋" w:hAnsi="仿宋" w:eastAsia="仿宋"/>
          <w:color w:val="auto"/>
          <w:sz w:val="32"/>
          <w:szCs w:val="32"/>
        </w:rPr>
        <w:t>号)</w:t>
      </w: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2880" w:firstLineChars="900"/>
        <w:rPr>
          <w:rFonts w:hint="eastAsia" w:ascii="仿宋_GB2312" w:hAnsi="黑体" w:eastAsia="仿宋_GB2312"/>
          <w:color w:val="auto"/>
          <w:sz w:val="32"/>
          <w:szCs w:val="32"/>
          <w:u w:val="single"/>
        </w:rPr>
      </w:pPr>
      <w:r>
        <w:rPr>
          <w:rFonts w:hint="eastAsia" w:ascii="仿宋_GB2312" w:hAnsi="黑体" w:eastAsia="仿宋_GB2312"/>
          <w:color w:val="auto"/>
          <w:sz w:val="32"/>
          <w:szCs w:val="32"/>
          <w:u w:val="single"/>
        </w:rPr>
        <w:t>沈阳市铁西区</w:t>
      </w:r>
      <w:r>
        <w:rPr>
          <w:rFonts w:hint="eastAsia" w:ascii="仿宋_GB2312" w:hAnsi="黑体" w:eastAsia="仿宋_GB2312"/>
          <w:color w:val="auto"/>
          <w:sz w:val="32"/>
          <w:szCs w:val="32"/>
        </w:rPr>
        <w:t>市场监督管理局</w:t>
      </w:r>
    </w:p>
    <w:p>
      <w:pPr>
        <w:spacing w:line="560" w:lineRule="exact"/>
        <w:ind w:right="1120" w:firstLine="3520" w:firstLineChars="1100"/>
        <w:rPr>
          <w:rFonts w:hint="eastAsia" w:ascii="仿宋_GB2312" w:hAnsi="黑体" w:eastAsia="仿宋_GB2312"/>
          <w:color w:val="auto"/>
          <w:sz w:val="32"/>
          <w:szCs w:val="32"/>
        </w:rPr>
      </w:pPr>
      <w:r>
        <w:rPr>
          <w:rFonts w:hint="eastAsia" w:ascii="仿宋_GB2312" w:hAnsi="黑体" w:eastAsia="仿宋_GB2312"/>
          <w:color w:val="auto"/>
          <w:sz w:val="32"/>
          <w:szCs w:val="32"/>
        </w:rPr>
        <w:t>2024年</w:t>
      </w:r>
      <w:r>
        <w:rPr>
          <w:rFonts w:hint="eastAsia" w:ascii="仿宋_GB2312" w:hAnsi="黑体" w:eastAsia="仿宋_GB2312"/>
          <w:color w:val="auto"/>
          <w:sz w:val="32"/>
          <w:szCs w:val="32"/>
          <w:lang w:val="en-US" w:eastAsia="zh-CN"/>
        </w:rPr>
        <w:t>9</w:t>
      </w:r>
      <w:r>
        <w:rPr>
          <w:rFonts w:hint="eastAsia" w:ascii="仿宋_GB2312" w:hAnsi="黑体" w:eastAsia="仿宋_GB2312"/>
          <w:color w:val="auto"/>
          <w:sz w:val="32"/>
          <w:szCs w:val="32"/>
        </w:rPr>
        <w:t>月</w:t>
      </w:r>
      <w:r>
        <w:rPr>
          <w:rFonts w:hint="eastAsia" w:ascii="仿宋_GB2312" w:hAnsi="黑体" w:eastAsia="仿宋_GB2312"/>
          <w:color w:val="auto"/>
          <w:sz w:val="32"/>
          <w:szCs w:val="32"/>
          <w:lang w:val="en-US" w:eastAsia="zh-CN"/>
        </w:rPr>
        <w:t>13</w:t>
      </w:r>
      <w:r>
        <w:rPr>
          <w:rFonts w:hint="eastAsia" w:ascii="仿宋_GB2312" w:hAnsi="黑体" w:eastAsia="仿宋_GB2312"/>
          <w:color w:val="auto"/>
          <w:sz w:val="32"/>
          <w:szCs w:val="32"/>
        </w:rPr>
        <w:t>日</w:t>
      </w:r>
      <w:r>
        <w:rPr>
          <w:rFonts w:hint="eastAsia" w:ascii="仿宋_GB2312" w:hAnsi="Times New Roman" w:eastAsia="仿宋_GB2312"/>
          <w:color w:val="auto"/>
          <w:sz w:val="32"/>
          <w:szCs w:val="32"/>
        </w:rPr>
        <w:t xml:space="preserve">  </w:t>
      </w:r>
    </w:p>
    <w:p>
      <w:pPr>
        <w:spacing w:line="560" w:lineRule="exact"/>
        <w:ind w:right="1280" w:firstLine="600"/>
        <w:jc w:val="right"/>
        <w:rPr>
          <w:rFonts w:ascii="Times New Roman" w:hAnsi="Times New Roman" w:eastAsia="仿宋_GB2312"/>
          <w:color w:val="auto"/>
          <w:sz w:val="28"/>
          <w:szCs w:val="28"/>
        </w:rPr>
      </w:pPr>
    </w:p>
    <w:p>
      <w:pPr>
        <w:spacing w:line="500" w:lineRule="exact"/>
        <w:rPr>
          <w:rFonts w:ascii="Times New Roman" w:hAnsi="Times New Roman" w:eastAsia="仿宋_GB2312"/>
          <w:color w:val="auto"/>
          <w:sz w:val="32"/>
        </w:rPr>
      </w:pPr>
      <w:r>
        <w:rPr>
          <w:rFonts w:ascii="Times New Roman" w:hAnsi="Times New Roman" w:eastAsia="仿宋_GB2312"/>
          <w:color w:val="auto"/>
          <w:sz w:val="32"/>
        </w:rPr>
        <mc:AlternateContent>
          <mc:Choice Requires="wps">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550535" cy="635"/>
                <wp:effectExtent l="0" t="0" r="0" b="0"/>
                <wp:wrapNone/>
                <wp:docPr id="1" name="_x0000_s1028"/>
                <wp:cNvGraphicFramePr/>
                <a:graphic xmlns:a="http://schemas.openxmlformats.org/drawingml/2006/main">
                  <a:graphicData uri="http://schemas.microsoft.com/office/word/2010/wordprocessingShape">
                    <wps:wsp>
                      <wps:cNvCnPr/>
                      <wps:spPr>
                        <a:xfrm>
                          <a:off x="0" y="-2540"/>
                          <a:ext cx="5550535" cy="635"/>
                        </a:xfrm>
                        <a:prstGeom prst="line">
                          <a:avLst/>
                        </a:prstGeom>
                        <a:solidFill>
                          <a:prstClr val="white"/>
                        </a:solidFill>
                        <a:ln w="15875">
                          <a:solidFill>
                            <a:prstClr val="white"/>
                          </a:solidFill>
                        </a:ln>
                      </wps:spPr>
                      <wps:bodyPr rot="0" vert="horz" wrap="square" lIns="91440" tIns="45720" rIns="91440" bIns="45720" anchor="t" anchorCtr="0"/>
                    </wps:wsp>
                  </a:graphicData>
                </a:graphic>
              </wp:anchor>
            </w:drawing>
          </mc:Choice>
          <mc:Fallback>
            <w:pict>
              <v:line id="_x0000_s1028" o:spid="_x0000_s1026" o:spt="20" style="position:absolute;left:0pt;margin-top:0pt;height:0.05pt;width:437.05pt;mso-position-horizontal:center;z-index:251660288;mso-width-relative:page;mso-height-relative:page;" fillcolor="#FFFFFF" filled="t" stroked="t" coordsize="21600,21600" o:gfxdata="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MeW4LTAAAAAgEA&#10;AA8AAAAAAAAAAQAgAAAAIgAAAGRycy9kb3ducmV2LnhtbFBLAQIUABQAAAAIAIdO4kALnk125gEA&#10;APgDAAAOAAAAAAAAAAEAIAAAACIBAABkcnMvZTJvRG9jLnhtbFBLBQYAAAAABgAGAFkBAAB6BQAA&#10;AAA=&#10;">
                <v:fill on="t" focussize="0,0"/>
                <v:stroke weight="1.25pt" color="#FFFFFF" joinstyle="round"/>
                <v:imagedata o:title=""/>
                <o:lock v:ext="edit" aspectratio="f"/>
              </v:line>
            </w:pict>
          </mc:Fallback>
        </mc:AlternateContent>
      </w:r>
      <w:r>
        <w:rPr>
          <w:rFonts w:ascii="Times New Roman" w:hAnsi="Times New Roman" w:eastAsia="仿宋_GB2312"/>
          <w:bCs/>
          <w:color w:val="auto"/>
          <w:sz w:val="32"/>
          <w:szCs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0</wp:posOffset>
                </wp:positionV>
                <wp:extent cx="5762625" cy="1270"/>
                <wp:effectExtent l="0" t="0" r="0" b="0"/>
                <wp:wrapNone/>
                <wp:docPr id="2" name="_x0000_s1029"/>
                <wp:cNvGraphicFramePr/>
                <a:graphic xmlns:a="http://schemas.openxmlformats.org/drawingml/2006/main">
                  <a:graphicData uri="http://schemas.microsoft.com/office/word/2010/wordprocessingShape">
                    <wps:wsp>
                      <wps:cNvCnPr/>
                      <wps:spPr>
                        <a:xfrm>
                          <a:off x="0" y="20807044"/>
                          <a:ext cx="5762625" cy="1270"/>
                        </a:xfrm>
                        <a:prstGeom prst="line">
                          <a:avLst/>
                        </a:prstGeom>
                        <a:solidFill>
                          <a:prstClr val="white"/>
                        </a:solidFill>
                        <a:ln w="9360">
                          <a:solidFill>
                            <a:prstClr val="white"/>
                          </a:solidFill>
                        </a:ln>
                      </wps:spPr>
                      <wps:bodyPr rot="0" vert="horz" wrap="square" lIns="91440" tIns="45720" rIns="91440" bIns="45720" anchor="t" anchorCtr="0"/>
                    </wps:wsp>
                  </a:graphicData>
                </a:graphic>
              </wp:anchor>
            </w:drawing>
          </mc:Choice>
          <mc:Fallback>
            <w:pict>
              <v:line id="_x0000_s1029" o:spid="_x0000_s1026" o:spt="20" style="position:absolute;left:0pt;margin-left:0pt;margin-top:0pt;height:0.1pt;width:453.75pt;z-index:251659264;mso-width-relative:page;mso-height-relative:page;" fillcolor="#FFFFFF" filled="t" stroked="t" coordsize="21600,21600" o:gfxdata="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xoTo0QAA&#10;AAIBAAAPAAAAAAAAAAEAIAAAACIAAABkcnMvZG93bnJldi54bWxQSwECFAAUAAAACACHTuJAgNgM&#10;zOwBAAD7AwAADgAAAAAAAAABACAAAAAgAQAAZHJzL2Uyb0RvYy54bWxQSwUGAAAAAAYABgBZAQAA&#10;fgUAAAAA&#10;">
                <v:fill on="t" focussize="0,0"/>
                <v:stroke weight="0.737007874015748pt" color="#FFFFFF" joinstyle="round"/>
                <v:imagedata o:title=""/>
                <o:lock v:ext="edit" aspectratio="f"/>
              </v:line>
            </w:pict>
          </mc:Fallback>
        </mc:AlternateContent>
      </w:r>
      <w:r>
        <w:rPr>
          <w:rFonts w:hint="eastAsia" w:ascii="Times New Roman" w:hAnsi="Times New Roman" w:eastAsia="仿宋_GB2312"/>
          <w:color w:val="auto"/>
          <w:sz w:val="32"/>
          <w:szCs w:val="32"/>
        </w:rPr>
        <w:t>本文书一式</w:t>
      </w:r>
      <w:r>
        <w:rPr>
          <w:rFonts w:hint="eastAsia" w:ascii="Times New Roman" w:hAnsi="Times New Roman" w:eastAsia="仿宋_GB2312"/>
          <w:color w:val="auto"/>
          <w:sz w:val="32"/>
          <w:szCs w:val="32"/>
          <w:u w:val="single"/>
        </w:rPr>
        <w:t>三</w:t>
      </w:r>
      <w:r>
        <w:rPr>
          <w:rFonts w:hint="eastAsia" w:ascii="Times New Roman" w:hAnsi="Times New Roman" w:eastAsia="仿宋_GB2312"/>
          <w:color w:val="auto"/>
          <w:sz w:val="32"/>
          <w:szCs w:val="32"/>
        </w:rPr>
        <w:t>份，</w:t>
      </w:r>
      <w:r>
        <w:rPr>
          <w:rFonts w:hint="eastAsia" w:ascii="Times New Roman" w:hAnsi="Times New Roman" w:eastAsia="仿宋_GB2312"/>
          <w:color w:val="auto"/>
          <w:sz w:val="32"/>
          <w:szCs w:val="32"/>
          <w:u w:val="single"/>
        </w:rPr>
        <w:t xml:space="preserve"> 一</w:t>
      </w:r>
      <w:r>
        <w:rPr>
          <w:rFonts w:hint="eastAsia" w:ascii="Times New Roman" w:hAnsi="Times New Roman" w:eastAsia="仿宋_GB2312"/>
          <w:color w:val="auto"/>
          <w:sz w:val="32"/>
          <w:szCs w:val="32"/>
        </w:rPr>
        <w:t>份送达，一份归档，</w:t>
      </w:r>
      <w:r>
        <w:rPr>
          <w:rFonts w:hint="eastAsia" w:ascii="Times New Roman" w:hAnsi="Times New Roman" w:eastAsia="仿宋_GB2312"/>
          <w:color w:val="auto"/>
          <w:sz w:val="32"/>
          <w:szCs w:val="32"/>
          <w:u w:val="single"/>
        </w:rPr>
        <w:t xml:space="preserve"> 一份备案  </w:t>
      </w:r>
      <w:r>
        <w:rPr>
          <w:rFonts w:hint="eastAsia" w:ascii="Times New Roman" w:hAnsi="Times New Roman" w:eastAsia="仿宋_GB2312"/>
          <w:color w:val="auto"/>
          <w:sz w:val="32"/>
          <w:szCs w:val="32"/>
        </w:rPr>
        <w:t>。</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isplayHorizontalDrawingGridEvery w:val="0"/>
  <w:displayVerticalDrawingGridEvery w:val="2"/>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Y0M2NlY2FjOTNjYWY5MTNlYjRiMTY4NzZkN2Q5NjAifQ=="/>
  </w:docVars>
  <w:rsids>
    <w:rsidRoot w:val="00000000"/>
    <w:rsid w:val="13D301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默认段落字体1"/>
    <w:link w:val="1"/>
    <w:semiHidden/>
    <w:uiPriority w:val="0"/>
  </w:style>
  <w:style w:type="table" w:customStyle="1" w:styleId="5">
    <w:name w:val="普通表格1"/>
    <w:semiHidden/>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829</Words>
  <Characters>868</Characters>
  <Lines>0</Lines>
  <Paragraphs>0</Paragraphs>
  <TotalTime>0</TotalTime>
  <ScaleCrop>false</ScaleCrop>
  <LinksUpToDate>false</LinksUpToDate>
  <CharactersWithSpaces>914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2024-09-12T05:30:44Z</dcterms:created>
  <dc:creator>小橘子</dc:creator>
  <cp:lastModifiedBy>小橘子</cp:lastModifiedBy>
  <cp:lastPrinted>2024-09-12T05:30:59Z</cp:lastPrinted>
  <dcterms:modified xsi:type="dcterms:W3CDTF">2024-09-12T05:31:02Z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3C4FF57BBA834D249E87F7BCC92158C8_12</vt:lpwstr>
  </property>
</Properties>
</file>