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015</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color w:val="auto"/>
          <w:sz w:val="32"/>
          <w:szCs w:val="32"/>
          <w:u w:val="single"/>
        </w:rPr>
        <w:t>沈阳拼不培电子商务有限公司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0040</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马冀家</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0040</w:t>
      </w:r>
      <w:r>
        <w:rPr>
          <w:rFonts w:hint="eastAsia" w:ascii="仿宋" w:hAnsi="仿宋" w:eastAsia="仿宋"/>
          <w:color w:val="auto"/>
          <w:sz w:val="32"/>
          <w:szCs w:val="32"/>
          <w:u w:val="single"/>
        </w:rPr>
        <w:t>号</w:t>
      </w:r>
      <w:r>
        <w:rPr>
          <w:rFonts w:hint="eastAsia" w:ascii="仿宋" w:hAnsi="仿宋" w:eastAsia="仿宋"/>
          <w:sz w:val="32"/>
          <w:szCs w:val="32"/>
          <w:u w:val="single"/>
        </w:rPr>
        <w:t>）</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2DB19BC"/>
    <w:rsid w:val="260565B3"/>
    <w:rsid w:val="2EA07805"/>
    <w:rsid w:val="32212DAA"/>
    <w:rsid w:val="4700480D"/>
    <w:rsid w:val="48792086"/>
    <w:rsid w:val="500A0668"/>
    <w:rsid w:val="513C6315"/>
    <w:rsid w:val="54887473"/>
    <w:rsid w:val="586530C1"/>
    <w:rsid w:val="7EAB7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2024-10-29T05:53:00Z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