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013</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sz w:val="32"/>
          <w:szCs w:val="32"/>
          <w:u w:val="single"/>
          <w:lang w:eastAsia="zh-CN"/>
        </w:rPr>
        <w:t>沈阳佳兴万世汽配销售中心</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0038</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0038</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EA07805"/>
    <w:rsid w:val="32212DAA"/>
    <w:rsid w:val="39582CCC"/>
    <w:rsid w:val="48792086"/>
    <w:rsid w:val="4DC551BD"/>
    <w:rsid w:val="500A0668"/>
    <w:rsid w:val="513C6315"/>
    <w:rsid w:val="54887473"/>
    <w:rsid w:val="58653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2024-10-29T05:51:47Z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