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杭州噜噜汽车服务有限公司沈阳分公司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auto"/>
          <w:sz w:val="32"/>
          <w:szCs w:val="32"/>
          <w:u w:val="single"/>
          <w:shd w:val="clear" w:color="auto" w:fill="FFFFFF"/>
        </w:rPr>
        <w:t>年未按规定报</w:t>
      </w:r>
      <w:bookmarkEnd w:id="3"/>
      <w:r>
        <w:rPr>
          <w:rFonts w:hint="eastAsia" w:ascii="仿宋" w:hAnsi="仿宋" w:eastAsia="仿宋" w:cs="Arial"/>
          <w:color w:val="191919"/>
          <w:sz w:val="32"/>
          <w:szCs w:val="32"/>
          <w:u w:val="single"/>
          <w:shd w:val="clear" w:color="auto" w:fill="FFFFFF"/>
        </w:rPr>
        <w:t>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2FA17963"/>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72612D4"/>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2019</Words>
  <Characters>2159</Characters>
  <Lines>102</Lines>
  <Paragraphs>28</Paragraphs>
  <TotalTime>1</TotalTime>
  <ScaleCrop>false</ScaleCrop>
  <LinksUpToDate>false</LinksUpToDate>
  <CharactersWithSpaces>2223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2024-10-31T06:08:23Z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