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-161</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辽宁诚建建筑工程有限公司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-161</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-161</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19A02C18"/>
    <w:rsid w:val="1E297809"/>
    <w:rsid w:val="21016FB2"/>
    <w:rsid w:val="21FC5F50"/>
    <w:rsid w:val="220B656A"/>
    <w:rsid w:val="24BD3555"/>
    <w:rsid w:val="26D870C8"/>
    <w:rsid w:val="2C9762B4"/>
    <w:rsid w:val="32C53366"/>
    <w:rsid w:val="36DF7E92"/>
    <w:rsid w:val="3F4F7C6C"/>
    <w:rsid w:val="41884094"/>
    <w:rsid w:val="4C584494"/>
    <w:rsid w:val="4DA335EF"/>
    <w:rsid w:val="575A58DF"/>
    <w:rsid w:val="6DF3366F"/>
    <w:rsid w:val="73C36379"/>
    <w:rsid w:val="773D2DAD"/>
    <w:rsid w:val="79C472D3"/>
    <w:rsid w:val="79CC2BB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DF3C0606B7D84E64982B995C1F93BC73_13</vt:lpwstr>
  </property>
</Properties>
</file>