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  <w:u w:val="none"/>
        </w:rPr>
        <w:t>辽宁边鑫粮食加工有限公司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410</Words>
  <Characters>451</Characters>
  <Lines>2</Lines>
  <Paragraphs>1</Paragraphs>
  <TotalTime>1</TotalTime>
  <ScaleCrop>false</ScaleCrop>
  <LinksUpToDate>false</LinksUpToDate>
  <CharactersWithSpaces>471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返璞归真</cp:lastModifiedBy>
  <cp:lastPrinted>2025-07-24T02:49:00Z</cp:lastPrinted>
  <dcterms:modified xsi:type="dcterms:W3CDTF">2025-10-23T02:05:48Z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B74C458A255C478BB8F6BA2B8C00E079</vt:lpwstr>
  </property>
  <property fmtid="{D5CDD505-2E9C-101B-9397-08002B2CF9AE}" pid="4" name="KSOTemplateDocerSaveRecord">
    <vt:lpwstr>eyJoZGlkIjoiZTllYTE1YzY2YmQzM2Q5YzI0OTgwN2E2OGQ5MWY4YjAiLCJ1c2VySWQiOiIzNDk5NDQzMzQifQ==</vt:lpwstr>
  </property>
</Properties>
</file>