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65E97">
      <w:pPr>
        <w:adjustRightInd w:val="0"/>
        <w:snapToGrid w:val="0"/>
        <w:spacing w:line="440" w:lineRule="exact"/>
        <w:jc w:val="center"/>
        <w:rPr>
          <w:rFonts w:ascii="Times New Roman" w:hAnsi="Times New Roman" w:eastAsia="方正小标宋简体"/>
          <w:sz w:val="32"/>
          <w:szCs w:val="32"/>
        </w:rPr>
      </w:pPr>
      <w:r>
        <w:rPr>
          <w:rFonts w:hint="eastAsia" w:ascii="Times New Roman" w:hAnsi="Times New Roman" w:eastAsia="方正小标宋简体"/>
          <w:sz w:val="32"/>
          <w:szCs w:val="32"/>
          <w:lang w:val="en-US" w:eastAsia="zh-CN"/>
        </w:rPr>
        <w:t>沈阳市宠物用品</w:t>
      </w:r>
      <w:r>
        <w:rPr>
          <w:rFonts w:ascii="Times New Roman" w:hAnsi="Times New Roman" w:eastAsia="方正小标宋简体"/>
          <w:sz w:val="32"/>
          <w:szCs w:val="32"/>
        </w:rPr>
        <w:t>产品质量监督抽查实施细则</w:t>
      </w:r>
    </w:p>
    <w:p w14:paraId="2F5135FF">
      <w:pPr>
        <w:adjustRightInd w:val="0"/>
        <w:snapToGrid w:val="0"/>
        <w:spacing w:line="440" w:lineRule="exact"/>
        <w:jc w:val="center"/>
        <w:rPr>
          <w:rFonts w:ascii="Times New Roman" w:hAnsi="Times New Roman" w:eastAsia="方正小标宋简体"/>
          <w:sz w:val="32"/>
          <w:szCs w:val="32"/>
        </w:rPr>
      </w:pPr>
    </w:p>
    <w:p w14:paraId="44CD5307">
      <w:pPr>
        <w:snapToGrid w:val="0"/>
        <w:spacing w:line="440" w:lineRule="exact"/>
        <w:rPr>
          <w:rFonts w:ascii="Times New Roman" w:hAnsi="Times New Roman" w:eastAsia="黑体"/>
          <w:szCs w:val="21"/>
        </w:rPr>
      </w:pPr>
      <w:r>
        <w:rPr>
          <w:rFonts w:ascii="Times New Roman" w:hAnsi="Times New Roman" w:eastAsia="黑体"/>
          <w:szCs w:val="21"/>
        </w:rPr>
        <w:t>1 抽样方法</w:t>
      </w:r>
    </w:p>
    <w:p w14:paraId="4BBEFE7F">
      <w:pPr>
        <w:snapToGrid w:val="0"/>
        <w:spacing w:line="440" w:lineRule="exact"/>
        <w:ind w:firstLine="420" w:firstLineChars="200"/>
        <w:rPr>
          <w:rFonts w:ascii="Times New Roman" w:hAnsi="Times New Roman"/>
          <w:szCs w:val="21"/>
        </w:rPr>
      </w:pPr>
      <w:r>
        <w:rPr>
          <w:rFonts w:ascii="Times New Roman" w:hAnsi="Times New Roman"/>
          <w:szCs w:val="21"/>
        </w:rPr>
        <w:t>以随机抽样的方式在被抽样生产者、销售者的待销产品中抽取。</w:t>
      </w:r>
    </w:p>
    <w:p w14:paraId="073F82A0">
      <w:pPr>
        <w:snapToGrid w:val="0"/>
        <w:spacing w:line="440" w:lineRule="exact"/>
        <w:ind w:firstLine="420" w:firstLineChars="200"/>
        <w:rPr>
          <w:rFonts w:ascii="Times New Roman" w:hAnsi="Times New Roman"/>
          <w:szCs w:val="21"/>
        </w:rPr>
      </w:pPr>
      <w:r>
        <w:rPr>
          <w:rFonts w:ascii="Times New Roman" w:hAnsi="Times New Roman"/>
          <w:szCs w:val="21"/>
        </w:rPr>
        <w:t>随机数一般可使用随机数表等方法产生。</w:t>
      </w:r>
    </w:p>
    <w:p w14:paraId="781C6EE5">
      <w:pPr>
        <w:snapToGrid w:val="0"/>
        <w:spacing w:line="44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每批次</w:t>
      </w:r>
      <w:r>
        <w:rPr>
          <w:rFonts w:hint="eastAsia" w:ascii="Times New Roman" w:hAnsi="Times New Roman"/>
          <w:color w:val="auto"/>
          <w:szCs w:val="21"/>
          <w:highlight w:val="none"/>
        </w:rPr>
        <w:t>产品</w:t>
      </w:r>
      <w:r>
        <w:rPr>
          <w:rFonts w:ascii="Times New Roman" w:hAnsi="Times New Roman"/>
          <w:color w:val="auto"/>
          <w:szCs w:val="21"/>
          <w:highlight w:val="none"/>
        </w:rPr>
        <w:t>抽样数量详见表1。</w:t>
      </w:r>
    </w:p>
    <w:p w14:paraId="32D257DD">
      <w:pPr>
        <w:adjustRightInd w:val="0"/>
        <w:snapToGrid w:val="0"/>
        <w:spacing w:line="440" w:lineRule="exact"/>
        <w:jc w:val="center"/>
        <w:rPr>
          <w:rFonts w:ascii="Times New Roman" w:hAnsi="Times New Roman"/>
          <w:color w:val="auto"/>
          <w:szCs w:val="21"/>
          <w:highlight w:val="none"/>
        </w:rPr>
      </w:pPr>
      <w:r>
        <w:rPr>
          <w:rFonts w:hint="eastAsia" w:ascii="Times New Roman" w:hAnsi="Times New Roman"/>
          <w:color w:val="auto"/>
          <w:szCs w:val="21"/>
          <w:highlight w:val="none"/>
        </w:rPr>
        <w:t>表1</w:t>
      </w:r>
      <w:r>
        <w:rPr>
          <w:rFonts w:ascii="Times New Roman" w:hAnsi="Times New Roman"/>
          <w:color w:val="auto"/>
          <w:szCs w:val="21"/>
          <w:highlight w:val="none"/>
        </w:rPr>
        <w:t xml:space="preserve"> </w:t>
      </w:r>
      <w:r>
        <w:rPr>
          <w:rFonts w:hint="eastAsia" w:ascii="Times New Roman" w:hAnsi="Times New Roman"/>
          <w:color w:val="auto"/>
          <w:szCs w:val="21"/>
          <w:highlight w:val="none"/>
        </w:rPr>
        <w:t>抽样数量</w:t>
      </w:r>
    </w:p>
    <w:tbl>
      <w:tblPr>
        <w:tblStyle w:val="11"/>
        <w:tblW w:w="4996" w:type="pct"/>
        <w:tblInd w:w="0" w:type="dxa"/>
        <w:tblLayout w:type="autofit"/>
        <w:tblCellMar>
          <w:top w:w="0" w:type="dxa"/>
          <w:left w:w="108" w:type="dxa"/>
          <w:bottom w:w="0" w:type="dxa"/>
          <w:right w:w="108" w:type="dxa"/>
        </w:tblCellMar>
      </w:tblPr>
      <w:tblGrid>
        <w:gridCol w:w="828"/>
        <w:gridCol w:w="2315"/>
        <w:gridCol w:w="2005"/>
        <w:gridCol w:w="2005"/>
        <w:gridCol w:w="2014"/>
      </w:tblGrid>
      <w:tr w14:paraId="3E89EB3F">
        <w:tblPrEx>
          <w:tblCellMar>
            <w:top w:w="0" w:type="dxa"/>
            <w:left w:w="108" w:type="dxa"/>
            <w:bottom w:w="0" w:type="dxa"/>
            <w:right w:w="108" w:type="dxa"/>
          </w:tblCellMar>
        </w:tblPrEx>
        <w:trPr>
          <w:trHeight w:val="778" w:hRule="atLeast"/>
        </w:trPr>
        <w:tc>
          <w:tcPr>
            <w:tcW w:w="828" w:type="dxa"/>
            <w:tcBorders>
              <w:top w:val="single" w:color="000000" w:sz="8" w:space="0"/>
              <w:left w:val="single" w:color="000000" w:sz="8" w:space="0"/>
              <w:bottom w:val="single" w:color="000000" w:sz="8" w:space="0"/>
              <w:right w:val="single" w:color="000000" w:sz="8" w:space="0"/>
            </w:tcBorders>
            <w:vAlign w:val="center"/>
          </w:tcPr>
          <w:p w14:paraId="66EE8E0D">
            <w:pPr>
              <w:widowControl/>
              <w:jc w:val="center"/>
              <w:textAlignment w:val="center"/>
              <w:rPr>
                <w:rFonts w:hint="eastAsia" w:ascii="Times New Roman" w:hAnsi="Times New Roman" w:cs="宋体"/>
                <w:color w:val="auto"/>
                <w:szCs w:val="21"/>
                <w:highlight w:val="none"/>
              </w:rPr>
            </w:pPr>
            <w:r>
              <w:rPr>
                <w:rFonts w:hint="eastAsia" w:ascii="Times New Roman" w:hAnsi="Times New Roman" w:cs="宋体"/>
                <w:color w:val="auto"/>
                <w:kern w:val="0"/>
                <w:szCs w:val="21"/>
                <w:highlight w:val="none"/>
                <w:lang w:bidi="ar"/>
              </w:rPr>
              <w:t>序号</w:t>
            </w:r>
          </w:p>
        </w:tc>
        <w:tc>
          <w:tcPr>
            <w:tcW w:w="2315" w:type="dxa"/>
            <w:tcBorders>
              <w:top w:val="single" w:color="000000" w:sz="8" w:space="0"/>
              <w:left w:val="single" w:color="000000" w:sz="8" w:space="0"/>
              <w:bottom w:val="single" w:color="000000" w:sz="8" w:space="0"/>
              <w:right w:val="single" w:color="000000" w:sz="8" w:space="0"/>
            </w:tcBorders>
            <w:vAlign w:val="center"/>
          </w:tcPr>
          <w:p w14:paraId="1BB432B6">
            <w:pPr>
              <w:widowControl/>
              <w:jc w:val="center"/>
              <w:textAlignment w:val="center"/>
              <w:rPr>
                <w:rFonts w:hint="eastAsia" w:ascii="Times New Roman" w:hAnsi="Times New Roman" w:cs="宋体"/>
                <w:color w:val="auto"/>
                <w:szCs w:val="21"/>
                <w:highlight w:val="none"/>
              </w:rPr>
            </w:pPr>
            <w:r>
              <w:rPr>
                <w:rFonts w:hint="eastAsia" w:ascii="Times New Roman" w:hAnsi="Times New Roman" w:cs="宋体"/>
                <w:color w:val="auto"/>
                <w:kern w:val="0"/>
                <w:szCs w:val="21"/>
                <w:highlight w:val="none"/>
                <w:lang w:bidi="ar"/>
              </w:rPr>
              <w:t>产品种类</w:t>
            </w:r>
          </w:p>
        </w:tc>
        <w:tc>
          <w:tcPr>
            <w:tcW w:w="2005" w:type="dxa"/>
            <w:tcBorders>
              <w:top w:val="single" w:color="000000" w:sz="8" w:space="0"/>
              <w:left w:val="single" w:color="000000" w:sz="8" w:space="0"/>
              <w:bottom w:val="single" w:color="000000" w:sz="8" w:space="0"/>
              <w:right w:val="single" w:color="000000" w:sz="8" w:space="0"/>
            </w:tcBorders>
            <w:vAlign w:val="center"/>
          </w:tcPr>
          <w:p w14:paraId="65DD3D05">
            <w:pPr>
              <w:widowControl/>
              <w:jc w:val="center"/>
              <w:textAlignment w:val="center"/>
              <w:rPr>
                <w:rFonts w:hint="eastAsia" w:ascii="Times New Roman" w:hAnsi="Times New Roman" w:cs="宋体"/>
                <w:color w:val="auto"/>
                <w:szCs w:val="21"/>
                <w:highlight w:val="none"/>
              </w:rPr>
            </w:pPr>
            <w:r>
              <w:rPr>
                <w:rFonts w:hint="eastAsia" w:ascii="Times New Roman" w:hAnsi="Times New Roman" w:cs="宋体"/>
                <w:color w:val="auto"/>
                <w:kern w:val="0"/>
                <w:szCs w:val="21"/>
                <w:highlight w:val="none"/>
                <w:lang w:bidi="ar"/>
              </w:rPr>
              <w:t>抽样数量</w:t>
            </w:r>
          </w:p>
        </w:tc>
        <w:tc>
          <w:tcPr>
            <w:tcW w:w="2005" w:type="dxa"/>
            <w:tcBorders>
              <w:top w:val="single" w:color="000000" w:sz="8" w:space="0"/>
              <w:left w:val="single" w:color="000000" w:sz="8" w:space="0"/>
              <w:bottom w:val="single" w:color="000000" w:sz="8" w:space="0"/>
              <w:right w:val="single" w:color="000000" w:sz="8" w:space="0"/>
            </w:tcBorders>
            <w:vAlign w:val="center"/>
          </w:tcPr>
          <w:p w14:paraId="743FDEFB">
            <w:pPr>
              <w:widowControl/>
              <w:jc w:val="center"/>
              <w:textAlignment w:val="center"/>
              <w:rPr>
                <w:rFonts w:hint="eastAsia" w:ascii="Times New Roman" w:hAnsi="Times New Roman" w:cs="宋体"/>
                <w:color w:val="auto"/>
                <w:szCs w:val="21"/>
                <w:highlight w:val="none"/>
              </w:rPr>
            </w:pPr>
            <w:r>
              <w:rPr>
                <w:rFonts w:hint="eastAsia" w:ascii="Times New Roman" w:hAnsi="Times New Roman" w:cs="宋体"/>
                <w:color w:val="auto"/>
                <w:kern w:val="0"/>
                <w:szCs w:val="21"/>
                <w:highlight w:val="none"/>
                <w:lang w:bidi="ar"/>
              </w:rPr>
              <w:t>检验样品数量</w:t>
            </w:r>
          </w:p>
        </w:tc>
        <w:tc>
          <w:tcPr>
            <w:tcW w:w="2014" w:type="dxa"/>
            <w:tcBorders>
              <w:top w:val="single" w:color="000000" w:sz="8" w:space="0"/>
              <w:left w:val="single" w:color="000000" w:sz="8" w:space="0"/>
              <w:bottom w:val="single" w:color="000000" w:sz="8" w:space="0"/>
              <w:right w:val="single" w:color="000000" w:sz="8" w:space="0"/>
            </w:tcBorders>
            <w:vAlign w:val="center"/>
          </w:tcPr>
          <w:p w14:paraId="52C1ACF2">
            <w:pPr>
              <w:widowControl/>
              <w:jc w:val="center"/>
              <w:textAlignment w:val="center"/>
              <w:rPr>
                <w:rFonts w:hint="eastAsia" w:ascii="Times New Roman" w:hAnsi="Times New Roman" w:cs="宋体"/>
                <w:color w:val="auto"/>
                <w:szCs w:val="21"/>
                <w:highlight w:val="none"/>
              </w:rPr>
            </w:pPr>
            <w:r>
              <w:rPr>
                <w:rFonts w:hint="eastAsia" w:ascii="Times New Roman" w:hAnsi="Times New Roman" w:cs="宋体"/>
                <w:color w:val="auto"/>
                <w:kern w:val="0"/>
                <w:szCs w:val="21"/>
                <w:highlight w:val="none"/>
                <w:lang w:bidi="ar"/>
              </w:rPr>
              <w:t>备用样品数量</w:t>
            </w:r>
          </w:p>
        </w:tc>
      </w:tr>
      <w:tr w14:paraId="6E6BE5E4">
        <w:tblPrEx>
          <w:tblCellMar>
            <w:top w:w="0" w:type="dxa"/>
            <w:left w:w="108" w:type="dxa"/>
            <w:bottom w:w="0" w:type="dxa"/>
            <w:right w:w="108" w:type="dxa"/>
          </w:tblCellMar>
        </w:tblPrEx>
        <w:trPr>
          <w:trHeight w:val="545" w:hRule="atLeast"/>
        </w:trPr>
        <w:tc>
          <w:tcPr>
            <w:tcW w:w="828" w:type="dxa"/>
            <w:tcBorders>
              <w:top w:val="single" w:color="000000" w:sz="8" w:space="0"/>
              <w:left w:val="single" w:color="000000" w:sz="8" w:space="0"/>
              <w:bottom w:val="single" w:color="000000" w:sz="8" w:space="0"/>
              <w:right w:val="single" w:color="000000" w:sz="8" w:space="0"/>
            </w:tcBorders>
            <w:vAlign w:val="center"/>
          </w:tcPr>
          <w:p w14:paraId="6143D274">
            <w:pPr>
              <w:widowControl/>
              <w:jc w:val="center"/>
              <w:textAlignment w:val="center"/>
              <w:rPr>
                <w:rFonts w:ascii="Times New Roman" w:hAnsi="Times New Roman"/>
                <w:color w:val="auto"/>
                <w:szCs w:val="21"/>
                <w:highlight w:val="none"/>
              </w:rPr>
            </w:pPr>
            <w:r>
              <w:rPr>
                <w:rFonts w:ascii="Times New Roman" w:hAnsi="Times New Roman"/>
                <w:color w:val="auto"/>
                <w:kern w:val="0"/>
                <w:szCs w:val="21"/>
                <w:highlight w:val="none"/>
                <w:lang w:bidi="ar"/>
              </w:rPr>
              <w:t>1</w:t>
            </w:r>
          </w:p>
        </w:tc>
        <w:tc>
          <w:tcPr>
            <w:tcW w:w="2315" w:type="dxa"/>
            <w:tcBorders>
              <w:top w:val="single" w:color="000000" w:sz="8" w:space="0"/>
              <w:left w:val="single" w:color="000000" w:sz="8" w:space="0"/>
              <w:bottom w:val="single" w:color="000000" w:sz="8" w:space="0"/>
              <w:right w:val="single" w:color="000000" w:sz="8" w:space="0"/>
            </w:tcBorders>
            <w:vAlign w:val="center"/>
          </w:tcPr>
          <w:p w14:paraId="5FB2624D">
            <w:pPr>
              <w:widowControl/>
              <w:jc w:val="center"/>
              <w:textAlignment w:val="center"/>
              <w:rPr>
                <w:rFonts w:hint="eastAsia" w:ascii="Times New Roman" w:hAnsi="Times New Roman" w:eastAsia="宋体" w:cs="宋体"/>
                <w:color w:val="auto"/>
                <w:szCs w:val="21"/>
                <w:highlight w:val="none"/>
                <w:lang w:eastAsia="zh-CN"/>
              </w:rPr>
            </w:pPr>
            <w:r>
              <w:rPr>
                <w:rFonts w:hint="eastAsia" w:ascii="Times New Roman" w:hAnsi="Times New Roman" w:cs="宋体"/>
                <w:color w:val="auto"/>
                <w:kern w:val="0"/>
                <w:szCs w:val="21"/>
                <w:highlight w:val="none"/>
                <w:lang w:eastAsia="zh-CN" w:bidi="ar"/>
              </w:rPr>
              <w:t>宠物用品</w:t>
            </w:r>
          </w:p>
        </w:tc>
        <w:tc>
          <w:tcPr>
            <w:tcW w:w="2005" w:type="dxa"/>
            <w:tcBorders>
              <w:top w:val="single" w:color="000000" w:sz="8" w:space="0"/>
              <w:left w:val="single" w:color="000000" w:sz="8" w:space="0"/>
              <w:bottom w:val="single" w:color="000000" w:sz="8" w:space="0"/>
              <w:right w:val="single" w:color="000000" w:sz="8" w:space="0"/>
            </w:tcBorders>
            <w:vAlign w:val="center"/>
          </w:tcPr>
          <w:p w14:paraId="5A91C288">
            <w:pPr>
              <w:widowControl/>
              <w:jc w:val="center"/>
              <w:textAlignment w:val="center"/>
              <w:rPr>
                <w:rFonts w:hint="eastAsia" w:ascii="Times New Roman" w:hAnsi="Times New Roman" w:eastAsia="宋体"/>
                <w:color w:val="auto"/>
                <w:szCs w:val="21"/>
                <w:highlight w:val="none"/>
                <w:lang w:eastAsia="zh-CN"/>
              </w:rPr>
            </w:pPr>
            <w:r>
              <w:rPr>
                <w:rFonts w:ascii="Times New Roman" w:hAnsi="Times New Roman"/>
                <w:color w:val="auto"/>
                <w:kern w:val="0"/>
                <w:szCs w:val="21"/>
                <w:highlight w:val="none"/>
                <w:lang w:bidi="ar"/>
              </w:rPr>
              <w:t>2</w:t>
            </w:r>
            <w:r>
              <w:rPr>
                <w:rFonts w:hint="eastAsia" w:ascii="Times New Roman" w:hAnsi="Times New Roman"/>
                <w:color w:val="auto"/>
                <w:kern w:val="0"/>
                <w:szCs w:val="21"/>
                <w:highlight w:val="none"/>
                <w:lang w:eastAsia="zh-CN" w:bidi="ar"/>
              </w:rPr>
              <w:t>个</w:t>
            </w:r>
          </w:p>
        </w:tc>
        <w:tc>
          <w:tcPr>
            <w:tcW w:w="2005" w:type="dxa"/>
            <w:tcBorders>
              <w:top w:val="single" w:color="000000" w:sz="8" w:space="0"/>
              <w:left w:val="single" w:color="000000" w:sz="8" w:space="0"/>
              <w:bottom w:val="single" w:color="000000" w:sz="8" w:space="0"/>
              <w:right w:val="single" w:color="000000" w:sz="8" w:space="0"/>
            </w:tcBorders>
            <w:vAlign w:val="center"/>
          </w:tcPr>
          <w:p w14:paraId="261098E0">
            <w:pPr>
              <w:widowControl/>
              <w:jc w:val="center"/>
              <w:textAlignment w:val="center"/>
              <w:rPr>
                <w:rFonts w:hint="eastAsia" w:ascii="Times New Roman" w:hAnsi="Times New Roman" w:eastAsia="宋体"/>
                <w:color w:val="auto"/>
                <w:szCs w:val="21"/>
                <w:highlight w:val="none"/>
                <w:lang w:eastAsia="zh-CN"/>
              </w:rPr>
            </w:pPr>
            <w:r>
              <w:rPr>
                <w:rFonts w:ascii="Times New Roman" w:hAnsi="Times New Roman"/>
                <w:color w:val="auto"/>
                <w:kern w:val="0"/>
                <w:szCs w:val="21"/>
                <w:highlight w:val="none"/>
                <w:lang w:bidi="ar"/>
              </w:rPr>
              <w:t>1</w:t>
            </w:r>
            <w:r>
              <w:rPr>
                <w:rFonts w:hint="eastAsia" w:ascii="Times New Roman" w:hAnsi="Times New Roman"/>
                <w:color w:val="auto"/>
                <w:kern w:val="0"/>
                <w:szCs w:val="21"/>
                <w:highlight w:val="none"/>
                <w:lang w:eastAsia="zh-CN" w:bidi="ar"/>
              </w:rPr>
              <w:t>个</w:t>
            </w:r>
          </w:p>
        </w:tc>
        <w:tc>
          <w:tcPr>
            <w:tcW w:w="2014" w:type="dxa"/>
            <w:tcBorders>
              <w:top w:val="single" w:color="000000" w:sz="8" w:space="0"/>
              <w:left w:val="single" w:color="000000" w:sz="8" w:space="0"/>
              <w:bottom w:val="single" w:color="000000" w:sz="8" w:space="0"/>
              <w:right w:val="single" w:color="000000" w:sz="8" w:space="0"/>
            </w:tcBorders>
            <w:vAlign w:val="center"/>
          </w:tcPr>
          <w:p w14:paraId="751EED62">
            <w:pPr>
              <w:widowControl/>
              <w:jc w:val="center"/>
              <w:textAlignment w:val="center"/>
              <w:rPr>
                <w:rFonts w:hint="eastAsia" w:ascii="Times New Roman" w:hAnsi="Times New Roman" w:eastAsia="宋体"/>
                <w:color w:val="auto"/>
                <w:szCs w:val="21"/>
                <w:highlight w:val="none"/>
                <w:lang w:eastAsia="zh-CN"/>
              </w:rPr>
            </w:pPr>
            <w:r>
              <w:rPr>
                <w:rFonts w:ascii="Times New Roman" w:hAnsi="Times New Roman"/>
                <w:color w:val="auto"/>
                <w:kern w:val="0"/>
                <w:szCs w:val="21"/>
                <w:highlight w:val="none"/>
                <w:lang w:bidi="ar"/>
              </w:rPr>
              <w:t>1</w:t>
            </w:r>
            <w:r>
              <w:rPr>
                <w:rFonts w:hint="eastAsia" w:ascii="Times New Roman" w:hAnsi="Times New Roman"/>
                <w:color w:val="auto"/>
                <w:kern w:val="0"/>
                <w:szCs w:val="21"/>
                <w:highlight w:val="none"/>
                <w:lang w:eastAsia="zh-CN" w:bidi="ar"/>
              </w:rPr>
              <w:t>个</w:t>
            </w:r>
          </w:p>
        </w:tc>
      </w:tr>
      <w:tr w14:paraId="59277064">
        <w:tblPrEx>
          <w:tblCellMar>
            <w:top w:w="0" w:type="dxa"/>
            <w:left w:w="108" w:type="dxa"/>
            <w:bottom w:w="0" w:type="dxa"/>
            <w:right w:w="108" w:type="dxa"/>
          </w:tblCellMar>
        </w:tblPrEx>
        <w:trPr>
          <w:trHeight w:val="525" w:hRule="atLeast"/>
        </w:trPr>
        <w:tc>
          <w:tcPr>
            <w:tcW w:w="828" w:type="dxa"/>
            <w:tcBorders>
              <w:top w:val="single" w:color="000000" w:sz="8" w:space="0"/>
              <w:left w:val="single" w:color="000000" w:sz="8" w:space="0"/>
              <w:bottom w:val="single" w:color="000000" w:sz="8" w:space="0"/>
              <w:right w:val="single" w:color="000000" w:sz="8" w:space="0"/>
            </w:tcBorders>
            <w:vAlign w:val="center"/>
          </w:tcPr>
          <w:p w14:paraId="04EC2D86">
            <w:pPr>
              <w:widowControl/>
              <w:jc w:val="center"/>
              <w:textAlignment w:val="center"/>
              <w:rPr>
                <w:rFonts w:ascii="Times New Roman" w:hAnsi="Times New Roman"/>
                <w:color w:val="auto"/>
                <w:szCs w:val="21"/>
                <w:highlight w:val="none"/>
              </w:rPr>
            </w:pPr>
            <w:r>
              <w:rPr>
                <w:rFonts w:ascii="Times New Roman" w:hAnsi="Times New Roman"/>
                <w:color w:val="auto"/>
                <w:kern w:val="0"/>
                <w:szCs w:val="21"/>
                <w:highlight w:val="none"/>
                <w:lang w:bidi="ar"/>
              </w:rPr>
              <w:t>2</w:t>
            </w:r>
          </w:p>
        </w:tc>
        <w:tc>
          <w:tcPr>
            <w:tcW w:w="2315" w:type="dxa"/>
            <w:tcBorders>
              <w:top w:val="nil"/>
              <w:left w:val="single" w:color="000000" w:sz="8" w:space="0"/>
              <w:bottom w:val="single" w:color="000000" w:sz="8" w:space="0"/>
              <w:right w:val="single" w:color="000000" w:sz="8" w:space="0"/>
            </w:tcBorders>
            <w:vAlign w:val="center"/>
          </w:tcPr>
          <w:p w14:paraId="42DD3728">
            <w:pPr>
              <w:widowControl/>
              <w:jc w:val="center"/>
              <w:textAlignment w:val="center"/>
              <w:rPr>
                <w:rFonts w:hint="eastAsia" w:ascii="Times New Roman" w:hAnsi="Times New Roman" w:cs="宋体"/>
                <w:color w:val="auto"/>
                <w:szCs w:val="21"/>
                <w:highlight w:val="none"/>
              </w:rPr>
            </w:pPr>
            <w:r>
              <w:rPr>
                <w:rFonts w:hint="eastAsia" w:ascii="Times New Roman" w:hAnsi="Times New Roman" w:cs="宋体"/>
                <w:color w:val="auto"/>
                <w:kern w:val="0"/>
                <w:szCs w:val="21"/>
                <w:highlight w:val="none"/>
                <w:lang w:eastAsia="zh-CN" w:bidi="ar"/>
              </w:rPr>
              <w:t>宠物</w:t>
            </w:r>
            <w:r>
              <w:rPr>
                <w:rFonts w:hint="eastAsia" w:ascii="Times New Roman" w:hAnsi="Times New Roman" w:cs="宋体"/>
                <w:color w:val="auto"/>
                <w:kern w:val="0"/>
                <w:szCs w:val="21"/>
                <w:highlight w:val="none"/>
                <w:lang w:bidi="ar"/>
              </w:rPr>
              <w:t>服装</w:t>
            </w:r>
          </w:p>
        </w:tc>
        <w:tc>
          <w:tcPr>
            <w:tcW w:w="2005" w:type="dxa"/>
            <w:tcBorders>
              <w:top w:val="nil"/>
              <w:left w:val="single" w:color="000000" w:sz="8" w:space="0"/>
              <w:bottom w:val="single" w:color="000000" w:sz="8" w:space="0"/>
              <w:right w:val="single" w:color="000000" w:sz="8" w:space="0"/>
            </w:tcBorders>
            <w:vAlign w:val="center"/>
          </w:tcPr>
          <w:p w14:paraId="1F2F06B3">
            <w:pPr>
              <w:widowControl/>
              <w:jc w:val="center"/>
              <w:textAlignment w:val="center"/>
              <w:rPr>
                <w:rFonts w:ascii="Times New Roman" w:hAnsi="Times New Roman"/>
                <w:color w:val="auto"/>
                <w:szCs w:val="21"/>
                <w:highlight w:val="none"/>
              </w:rPr>
            </w:pPr>
            <w:r>
              <w:rPr>
                <w:rFonts w:hint="eastAsia" w:ascii="Times New Roman" w:hAnsi="Times New Roman"/>
                <w:color w:val="auto"/>
                <w:kern w:val="0"/>
                <w:szCs w:val="21"/>
                <w:highlight w:val="none"/>
                <w:lang w:val="en-US" w:eastAsia="zh-CN" w:bidi="ar"/>
              </w:rPr>
              <w:t>2</w:t>
            </w:r>
            <w:r>
              <w:rPr>
                <w:rFonts w:hint="eastAsia" w:ascii="Times New Roman" w:hAnsi="Times New Roman" w:cs="宋体"/>
                <w:color w:val="auto"/>
                <w:kern w:val="0"/>
                <w:szCs w:val="21"/>
                <w:highlight w:val="none"/>
                <w:lang w:bidi="ar"/>
              </w:rPr>
              <w:t>（件/条/套）</w:t>
            </w:r>
          </w:p>
        </w:tc>
        <w:tc>
          <w:tcPr>
            <w:tcW w:w="2005" w:type="dxa"/>
            <w:tcBorders>
              <w:top w:val="single" w:color="000000" w:sz="8" w:space="0"/>
              <w:left w:val="single" w:color="000000" w:sz="8" w:space="0"/>
              <w:bottom w:val="single" w:color="000000" w:sz="8" w:space="0"/>
              <w:right w:val="single" w:color="000000" w:sz="8" w:space="0"/>
            </w:tcBorders>
            <w:vAlign w:val="center"/>
          </w:tcPr>
          <w:p w14:paraId="155AEB84">
            <w:pPr>
              <w:widowControl/>
              <w:jc w:val="center"/>
              <w:textAlignment w:val="center"/>
              <w:rPr>
                <w:rFonts w:ascii="Times New Roman" w:hAnsi="Times New Roman"/>
                <w:color w:val="auto"/>
                <w:szCs w:val="21"/>
                <w:highlight w:val="none"/>
              </w:rPr>
            </w:pPr>
            <w:r>
              <w:rPr>
                <w:rFonts w:hint="eastAsia" w:ascii="Times New Roman" w:hAnsi="Times New Roman" w:eastAsia="宋体" w:cs="Times New Roman"/>
                <w:color w:val="auto"/>
                <w:kern w:val="0"/>
                <w:szCs w:val="21"/>
                <w:highlight w:val="none"/>
                <w:lang w:val="en-US" w:eastAsia="zh-CN" w:bidi="ar"/>
              </w:rPr>
              <w:t>1</w:t>
            </w:r>
            <w:r>
              <w:rPr>
                <w:rFonts w:hint="eastAsia" w:ascii="Times New Roman" w:hAnsi="Times New Roman" w:eastAsia="宋体" w:cs="Times New Roman"/>
                <w:color w:val="auto"/>
                <w:kern w:val="0"/>
                <w:szCs w:val="21"/>
                <w:highlight w:val="none"/>
                <w:lang w:bidi="ar"/>
              </w:rPr>
              <w:t>（件/条/套）</w:t>
            </w:r>
          </w:p>
        </w:tc>
        <w:tc>
          <w:tcPr>
            <w:tcW w:w="2014" w:type="dxa"/>
            <w:tcBorders>
              <w:top w:val="single" w:color="000000" w:sz="8" w:space="0"/>
              <w:left w:val="single" w:color="000000" w:sz="8" w:space="0"/>
              <w:bottom w:val="single" w:color="000000" w:sz="8" w:space="0"/>
              <w:right w:val="single" w:color="000000" w:sz="8" w:space="0"/>
            </w:tcBorders>
            <w:vAlign w:val="center"/>
          </w:tcPr>
          <w:p w14:paraId="6689C1AA">
            <w:pPr>
              <w:widowControl/>
              <w:jc w:val="center"/>
              <w:textAlignment w:val="center"/>
              <w:rPr>
                <w:rFonts w:ascii="Times New Roman" w:hAnsi="Times New Roman"/>
                <w:color w:val="auto"/>
                <w:szCs w:val="21"/>
                <w:highlight w:val="none"/>
              </w:rPr>
            </w:pPr>
            <w:r>
              <w:rPr>
                <w:rFonts w:ascii="Times New Roman" w:hAnsi="Times New Roman"/>
                <w:color w:val="auto"/>
                <w:kern w:val="0"/>
                <w:szCs w:val="21"/>
                <w:highlight w:val="none"/>
                <w:lang w:bidi="ar"/>
              </w:rPr>
              <w:t>1</w:t>
            </w:r>
            <w:r>
              <w:rPr>
                <w:rFonts w:hint="eastAsia" w:ascii="Times New Roman" w:hAnsi="Times New Roman" w:cs="宋体"/>
                <w:color w:val="auto"/>
                <w:kern w:val="0"/>
                <w:szCs w:val="21"/>
                <w:highlight w:val="none"/>
                <w:lang w:bidi="ar"/>
              </w:rPr>
              <w:t>（件/条/套）</w:t>
            </w:r>
          </w:p>
        </w:tc>
      </w:tr>
      <w:tr w14:paraId="661F6E90">
        <w:tblPrEx>
          <w:tblCellMar>
            <w:top w:w="0" w:type="dxa"/>
            <w:left w:w="108" w:type="dxa"/>
            <w:bottom w:w="0" w:type="dxa"/>
            <w:right w:w="108" w:type="dxa"/>
          </w:tblCellMar>
        </w:tblPrEx>
        <w:trPr>
          <w:trHeight w:val="525" w:hRule="atLeast"/>
        </w:trPr>
        <w:tc>
          <w:tcPr>
            <w:tcW w:w="828" w:type="dxa"/>
            <w:tcBorders>
              <w:top w:val="single" w:color="000000" w:sz="8" w:space="0"/>
              <w:left w:val="single" w:color="000000" w:sz="8" w:space="0"/>
              <w:bottom w:val="single" w:color="000000" w:sz="8" w:space="0"/>
              <w:right w:val="single" w:color="000000" w:sz="8" w:space="0"/>
            </w:tcBorders>
            <w:vAlign w:val="center"/>
          </w:tcPr>
          <w:p w14:paraId="50748E34">
            <w:pPr>
              <w:widowControl/>
              <w:jc w:val="center"/>
              <w:textAlignment w:val="center"/>
              <w:rPr>
                <w:rFonts w:hint="eastAsia" w:ascii="Times New Roman" w:hAnsi="Times New Roman" w:eastAsia="宋体"/>
                <w:color w:val="auto"/>
                <w:kern w:val="0"/>
                <w:szCs w:val="21"/>
                <w:highlight w:val="none"/>
                <w:lang w:val="en-US" w:eastAsia="zh-CN" w:bidi="ar"/>
              </w:rPr>
            </w:pPr>
            <w:r>
              <w:rPr>
                <w:rFonts w:hint="eastAsia" w:ascii="Times New Roman" w:hAnsi="Times New Roman"/>
                <w:color w:val="auto"/>
                <w:kern w:val="0"/>
                <w:szCs w:val="21"/>
                <w:highlight w:val="none"/>
                <w:lang w:val="en-US" w:eastAsia="zh-CN" w:bidi="ar"/>
              </w:rPr>
              <w:t>3</w:t>
            </w:r>
          </w:p>
        </w:tc>
        <w:tc>
          <w:tcPr>
            <w:tcW w:w="2315" w:type="dxa"/>
            <w:tcBorders>
              <w:top w:val="nil"/>
              <w:left w:val="single" w:color="000000" w:sz="8" w:space="0"/>
              <w:bottom w:val="single" w:color="000000" w:sz="8" w:space="0"/>
              <w:right w:val="single" w:color="000000" w:sz="8" w:space="0"/>
            </w:tcBorders>
            <w:vAlign w:val="center"/>
          </w:tcPr>
          <w:p w14:paraId="3BF8960C">
            <w:pPr>
              <w:widowControl/>
              <w:jc w:val="center"/>
              <w:textAlignment w:val="center"/>
              <w:rPr>
                <w:rFonts w:hint="eastAsia" w:ascii="Times New Roman" w:hAnsi="Times New Roman" w:cs="宋体"/>
                <w:color w:val="auto"/>
                <w:kern w:val="0"/>
                <w:szCs w:val="21"/>
                <w:highlight w:val="none"/>
                <w:lang w:eastAsia="zh-CN" w:bidi="ar"/>
              </w:rPr>
            </w:pPr>
            <w:r>
              <w:rPr>
                <w:rFonts w:hint="eastAsia" w:ascii="Times New Roman" w:hAnsi="Times New Roman" w:cs="宋体"/>
                <w:color w:val="auto"/>
                <w:kern w:val="0"/>
                <w:szCs w:val="21"/>
                <w:highlight w:val="none"/>
                <w:lang w:eastAsia="zh-CN" w:bidi="ar"/>
              </w:rPr>
              <w:t>宠物卫生用品</w:t>
            </w:r>
          </w:p>
        </w:tc>
        <w:tc>
          <w:tcPr>
            <w:tcW w:w="2005" w:type="dxa"/>
            <w:tcBorders>
              <w:top w:val="nil"/>
              <w:left w:val="single" w:color="000000" w:sz="8" w:space="0"/>
              <w:bottom w:val="single" w:color="000000" w:sz="8" w:space="0"/>
              <w:right w:val="single" w:color="000000" w:sz="8" w:space="0"/>
            </w:tcBorders>
            <w:vAlign w:val="center"/>
          </w:tcPr>
          <w:p w14:paraId="60240266">
            <w:pPr>
              <w:widowControl/>
              <w:jc w:val="center"/>
              <w:textAlignment w:val="center"/>
              <w:rPr>
                <w:rFonts w:hint="default" w:ascii="Times New Roman" w:hAnsi="Times New Roman"/>
                <w:color w:val="auto"/>
                <w:kern w:val="0"/>
                <w:szCs w:val="21"/>
                <w:highlight w:val="none"/>
                <w:lang w:val="en-US" w:eastAsia="zh-CN" w:bidi="ar"/>
              </w:rPr>
            </w:pPr>
            <w:r>
              <w:rPr>
                <w:rFonts w:hint="eastAsia" w:ascii="Times New Roman" w:hAnsi="Times New Roman"/>
                <w:color w:val="auto"/>
                <w:kern w:val="0"/>
                <w:szCs w:val="21"/>
                <w:highlight w:val="none"/>
                <w:lang w:val="en-US" w:eastAsia="zh-CN" w:bidi="ar"/>
              </w:rPr>
              <w:t>3包</w:t>
            </w:r>
          </w:p>
        </w:tc>
        <w:tc>
          <w:tcPr>
            <w:tcW w:w="2005" w:type="dxa"/>
            <w:tcBorders>
              <w:top w:val="single" w:color="000000" w:sz="8" w:space="0"/>
              <w:left w:val="single" w:color="000000" w:sz="8" w:space="0"/>
              <w:bottom w:val="single" w:color="000000" w:sz="8" w:space="0"/>
              <w:right w:val="single" w:color="000000" w:sz="8" w:space="0"/>
            </w:tcBorders>
            <w:vAlign w:val="center"/>
          </w:tcPr>
          <w:p w14:paraId="3ED399D2">
            <w:pPr>
              <w:widowControl/>
              <w:jc w:val="center"/>
              <w:textAlignment w:val="center"/>
              <w:rPr>
                <w:rFonts w:hint="default" w:ascii="Times New Roman" w:hAnsi="Times New Roman" w:eastAsia="宋体" w:cs="Times New Roman"/>
                <w:color w:val="auto"/>
                <w:kern w:val="0"/>
                <w:szCs w:val="21"/>
                <w:highlight w:val="none"/>
                <w:lang w:val="en-US" w:eastAsia="zh-CN" w:bidi="ar"/>
              </w:rPr>
            </w:pPr>
            <w:r>
              <w:rPr>
                <w:rFonts w:hint="eastAsia" w:ascii="Times New Roman" w:hAnsi="Times New Roman" w:cs="Times New Roman"/>
                <w:color w:val="auto"/>
                <w:kern w:val="0"/>
                <w:szCs w:val="21"/>
                <w:highlight w:val="none"/>
                <w:lang w:val="en-US" w:eastAsia="zh-CN" w:bidi="ar"/>
              </w:rPr>
              <w:t>2包</w:t>
            </w:r>
          </w:p>
        </w:tc>
        <w:tc>
          <w:tcPr>
            <w:tcW w:w="2014" w:type="dxa"/>
            <w:tcBorders>
              <w:top w:val="single" w:color="000000" w:sz="8" w:space="0"/>
              <w:left w:val="single" w:color="000000" w:sz="8" w:space="0"/>
              <w:bottom w:val="single" w:color="000000" w:sz="8" w:space="0"/>
              <w:right w:val="single" w:color="000000" w:sz="8" w:space="0"/>
            </w:tcBorders>
            <w:vAlign w:val="center"/>
          </w:tcPr>
          <w:p w14:paraId="2378C278">
            <w:pPr>
              <w:widowControl/>
              <w:jc w:val="center"/>
              <w:textAlignment w:val="center"/>
              <w:rPr>
                <w:rFonts w:hint="eastAsia" w:ascii="Times New Roman" w:hAnsi="Times New Roman" w:eastAsia="宋体"/>
                <w:color w:val="auto"/>
                <w:kern w:val="0"/>
                <w:szCs w:val="21"/>
                <w:highlight w:val="none"/>
                <w:lang w:val="en-US" w:eastAsia="zh-CN" w:bidi="ar"/>
              </w:rPr>
            </w:pPr>
            <w:r>
              <w:rPr>
                <w:rFonts w:hint="eastAsia" w:ascii="Times New Roman" w:hAnsi="Times New Roman"/>
                <w:color w:val="auto"/>
                <w:kern w:val="0"/>
                <w:szCs w:val="21"/>
                <w:highlight w:val="none"/>
                <w:lang w:val="en-US" w:eastAsia="zh-CN" w:bidi="ar"/>
              </w:rPr>
              <w:t>1包</w:t>
            </w:r>
          </w:p>
        </w:tc>
      </w:tr>
      <w:tr w14:paraId="17FFE022">
        <w:tblPrEx>
          <w:tblCellMar>
            <w:top w:w="0" w:type="dxa"/>
            <w:left w:w="108" w:type="dxa"/>
            <w:bottom w:w="0" w:type="dxa"/>
            <w:right w:w="108" w:type="dxa"/>
          </w:tblCellMar>
        </w:tblPrEx>
        <w:trPr>
          <w:trHeight w:val="505" w:hRule="atLeast"/>
        </w:trPr>
        <w:tc>
          <w:tcPr>
            <w:tcW w:w="9167" w:type="dxa"/>
            <w:gridSpan w:val="5"/>
            <w:tcBorders>
              <w:top w:val="nil"/>
              <w:left w:val="single" w:color="000000" w:sz="8" w:space="0"/>
              <w:bottom w:val="single" w:color="000000" w:sz="8" w:space="0"/>
              <w:right w:val="single" w:color="000000" w:sz="8" w:space="0"/>
            </w:tcBorders>
            <w:vAlign w:val="center"/>
          </w:tcPr>
          <w:p w14:paraId="10CEC59F">
            <w:pPr>
              <w:widowControl/>
              <w:jc w:val="left"/>
              <w:textAlignment w:val="center"/>
              <w:rPr>
                <w:rFonts w:hint="eastAsia" w:ascii="Times New Roman" w:hAnsi="Times New Roman" w:cs="宋体"/>
                <w:color w:val="auto"/>
                <w:szCs w:val="21"/>
                <w:highlight w:val="none"/>
              </w:rPr>
            </w:pPr>
            <w:r>
              <w:rPr>
                <w:rFonts w:hint="eastAsia" w:ascii="Times New Roman" w:hAnsi="Times New Roman" w:cs="宋体"/>
                <w:color w:val="auto"/>
                <w:kern w:val="0"/>
                <w:szCs w:val="21"/>
                <w:highlight w:val="none"/>
                <w:lang w:bidi="ar"/>
              </w:rPr>
              <w:t>注：如样品面积过小，可适当增加抽样数量，但不得超过检验、复检的合理需要。</w:t>
            </w:r>
          </w:p>
        </w:tc>
      </w:tr>
    </w:tbl>
    <w:p w14:paraId="0511D514">
      <w:pPr>
        <w:snapToGrid w:val="0"/>
        <w:spacing w:line="440" w:lineRule="exact"/>
        <w:ind w:firstLine="420" w:firstLineChars="200"/>
        <w:rPr>
          <w:rFonts w:ascii="Times New Roman" w:hAnsi="Times New Roman"/>
          <w:szCs w:val="21"/>
        </w:rPr>
      </w:pPr>
    </w:p>
    <w:p w14:paraId="22EB84C6">
      <w:pPr>
        <w:snapToGrid w:val="0"/>
        <w:spacing w:line="440" w:lineRule="exact"/>
        <w:rPr>
          <w:rFonts w:ascii="Times New Roman" w:hAnsi="Times New Roman" w:eastAsia="黑体"/>
          <w:szCs w:val="21"/>
        </w:rPr>
      </w:pPr>
      <w:r>
        <w:rPr>
          <w:rFonts w:ascii="Times New Roman" w:hAnsi="Times New Roman" w:eastAsia="黑体"/>
          <w:szCs w:val="21"/>
        </w:rPr>
        <w:t>2 检验依据</w:t>
      </w:r>
    </w:p>
    <w:p w14:paraId="3ED6294B">
      <w:pPr>
        <w:adjustRightInd w:val="0"/>
        <w:snapToGrid w:val="0"/>
        <w:spacing w:line="440" w:lineRule="exact"/>
        <w:jc w:val="center"/>
        <w:rPr>
          <w:rFonts w:hint="eastAsia" w:ascii="Times New Roman" w:hAnsi="Times New Roman"/>
          <w:color w:val="auto"/>
          <w:szCs w:val="21"/>
          <w:highlight w:val="none"/>
          <w:lang w:eastAsia="zh-CN"/>
        </w:rPr>
      </w:pPr>
      <w:r>
        <w:rPr>
          <w:rFonts w:hint="eastAsia" w:ascii="Times New Roman" w:hAnsi="Times New Roman"/>
          <w:color w:val="auto"/>
          <w:szCs w:val="21"/>
          <w:highlight w:val="none"/>
          <w:lang w:eastAsia="zh-CN"/>
        </w:rPr>
        <w:t>表</w:t>
      </w:r>
      <w:r>
        <w:rPr>
          <w:rFonts w:hint="eastAsia" w:ascii="Times New Roman" w:hAnsi="Times New Roman"/>
          <w:color w:val="auto"/>
          <w:szCs w:val="21"/>
          <w:highlight w:val="none"/>
          <w:lang w:val="en-US" w:eastAsia="zh-CN"/>
        </w:rPr>
        <w:t xml:space="preserve">2 </w:t>
      </w:r>
      <w:r>
        <w:rPr>
          <w:rFonts w:hint="eastAsia" w:ascii="Times New Roman" w:hAnsi="Times New Roman"/>
          <w:color w:val="auto"/>
          <w:szCs w:val="21"/>
          <w:highlight w:val="none"/>
          <w:lang w:eastAsia="zh-CN"/>
        </w:rPr>
        <w:t>宠物用品</w:t>
      </w:r>
    </w:p>
    <w:tbl>
      <w:tblPr>
        <w:tblStyle w:val="11"/>
        <w:tblW w:w="5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4769"/>
        <w:gridCol w:w="3850"/>
      </w:tblGrid>
      <w:tr w14:paraId="4BFA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22" w:type="pct"/>
            <w:noWrap w:val="0"/>
            <w:vAlign w:val="center"/>
          </w:tcPr>
          <w:p w14:paraId="0CC6BD7D">
            <w:pPr>
              <w:jc w:val="center"/>
              <w:rPr>
                <w:rFonts w:ascii="Times New Roman" w:hAnsi="Times New Roman"/>
                <w:szCs w:val="21"/>
              </w:rPr>
            </w:pPr>
            <w:r>
              <w:rPr>
                <w:rFonts w:ascii="Times New Roman" w:hAnsi="Times New Roman"/>
                <w:szCs w:val="21"/>
              </w:rPr>
              <w:t>序号</w:t>
            </w:r>
          </w:p>
        </w:tc>
        <w:tc>
          <w:tcPr>
            <w:tcW w:w="2532" w:type="pct"/>
            <w:noWrap w:val="0"/>
            <w:vAlign w:val="center"/>
          </w:tcPr>
          <w:p w14:paraId="04034D9E">
            <w:pPr>
              <w:jc w:val="center"/>
              <w:rPr>
                <w:rFonts w:ascii="Times New Roman" w:hAnsi="Times New Roman"/>
                <w:szCs w:val="21"/>
              </w:rPr>
            </w:pPr>
            <w:r>
              <w:rPr>
                <w:rFonts w:ascii="Times New Roman" w:hAnsi="Times New Roman"/>
                <w:szCs w:val="21"/>
              </w:rPr>
              <w:t>检验项目</w:t>
            </w:r>
          </w:p>
        </w:tc>
        <w:tc>
          <w:tcPr>
            <w:tcW w:w="2044" w:type="pct"/>
            <w:noWrap w:val="0"/>
            <w:vAlign w:val="center"/>
          </w:tcPr>
          <w:p w14:paraId="6697E225">
            <w:pPr>
              <w:jc w:val="center"/>
              <w:rPr>
                <w:rFonts w:ascii="Times New Roman" w:hAnsi="Times New Roman"/>
                <w:szCs w:val="21"/>
              </w:rPr>
            </w:pPr>
            <w:r>
              <w:rPr>
                <w:rFonts w:ascii="Times New Roman" w:hAnsi="Times New Roman"/>
                <w:szCs w:val="21"/>
              </w:rPr>
              <w:t>检验方法</w:t>
            </w:r>
          </w:p>
        </w:tc>
      </w:tr>
      <w:tr w14:paraId="332D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22" w:type="pct"/>
            <w:shd w:val="clear" w:color="auto" w:fill="auto"/>
            <w:noWrap w:val="0"/>
            <w:vAlign w:val="center"/>
          </w:tcPr>
          <w:p w14:paraId="0F7E19BC">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1</w:t>
            </w:r>
          </w:p>
        </w:tc>
        <w:tc>
          <w:tcPr>
            <w:tcW w:w="2532" w:type="pct"/>
            <w:noWrap w:val="0"/>
            <w:vAlign w:val="center"/>
          </w:tcPr>
          <w:p w14:paraId="75B894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标识</w:t>
            </w:r>
          </w:p>
        </w:tc>
        <w:tc>
          <w:tcPr>
            <w:tcW w:w="2044" w:type="pct"/>
            <w:noWrap w:val="0"/>
            <w:vAlign w:val="center"/>
          </w:tcPr>
          <w:p w14:paraId="29DACC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GB/T 43839—2024</w:t>
            </w:r>
          </w:p>
        </w:tc>
      </w:tr>
      <w:tr w14:paraId="3E56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2" w:type="pct"/>
            <w:shd w:val="clear" w:color="auto" w:fill="auto"/>
            <w:noWrap w:val="0"/>
            <w:vAlign w:val="center"/>
          </w:tcPr>
          <w:p w14:paraId="3FF70DEA">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2</w:t>
            </w:r>
          </w:p>
        </w:tc>
        <w:tc>
          <w:tcPr>
            <w:tcW w:w="2532" w:type="pct"/>
            <w:noWrap w:val="0"/>
            <w:vAlign w:val="center"/>
          </w:tcPr>
          <w:p w14:paraId="115104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边缘</w:t>
            </w:r>
          </w:p>
        </w:tc>
        <w:tc>
          <w:tcPr>
            <w:tcW w:w="2044" w:type="pct"/>
            <w:noWrap w:val="0"/>
            <w:vAlign w:val="center"/>
          </w:tcPr>
          <w:p w14:paraId="10CCF3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GB 6675.2—2014（含第1号修改单）</w:t>
            </w:r>
          </w:p>
        </w:tc>
      </w:tr>
      <w:tr w14:paraId="3F86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2" w:type="pct"/>
            <w:shd w:val="clear" w:color="auto" w:fill="auto"/>
            <w:noWrap w:val="0"/>
            <w:vAlign w:val="center"/>
          </w:tcPr>
          <w:p w14:paraId="24F6E563">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3</w:t>
            </w:r>
          </w:p>
        </w:tc>
        <w:tc>
          <w:tcPr>
            <w:tcW w:w="2532" w:type="pct"/>
            <w:noWrap w:val="0"/>
            <w:vAlign w:val="center"/>
          </w:tcPr>
          <w:p w14:paraId="2FB6DC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尖端</w:t>
            </w:r>
          </w:p>
        </w:tc>
        <w:tc>
          <w:tcPr>
            <w:tcW w:w="2044" w:type="pct"/>
            <w:noWrap w:val="0"/>
            <w:vAlign w:val="center"/>
          </w:tcPr>
          <w:p w14:paraId="59FA4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GB 6675.2—2014（含第1号修改单）</w:t>
            </w:r>
          </w:p>
        </w:tc>
      </w:tr>
      <w:tr w14:paraId="7AFC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2" w:type="pct"/>
            <w:shd w:val="clear" w:color="auto" w:fill="auto"/>
            <w:noWrap w:val="0"/>
            <w:vAlign w:val="center"/>
          </w:tcPr>
          <w:p w14:paraId="17D55077">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4</w:t>
            </w:r>
          </w:p>
        </w:tc>
        <w:tc>
          <w:tcPr>
            <w:tcW w:w="2532" w:type="pct"/>
            <w:noWrap w:val="0"/>
            <w:vAlign w:val="center"/>
          </w:tcPr>
          <w:p w14:paraId="5624CE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耐干摩擦色牢度</w:t>
            </w:r>
          </w:p>
        </w:tc>
        <w:tc>
          <w:tcPr>
            <w:tcW w:w="2044" w:type="pct"/>
            <w:noWrap w:val="0"/>
            <w:vAlign w:val="center"/>
          </w:tcPr>
          <w:p w14:paraId="6725F8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GB/T 3920—2008</w:t>
            </w:r>
          </w:p>
        </w:tc>
      </w:tr>
      <w:tr w14:paraId="68D0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2" w:type="pct"/>
            <w:shd w:val="clear" w:color="auto" w:fill="auto"/>
            <w:noWrap w:val="0"/>
            <w:vAlign w:val="center"/>
          </w:tcPr>
          <w:p w14:paraId="0A102C53">
            <w:pPr>
              <w:pStyle w:val="5"/>
              <w:spacing w:line="300" w:lineRule="auto"/>
              <w:jc w:val="center"/>
              <w:rPr>
                <w:rFonts w:ascii="Times New Roman" w:hAnsi="Times New Roman" w:eastAsia="宋体" w:cs="Times New Roman"/>
                <w:bCs/>
                <w:kern w:val="0"/>
                <w:sz w:val="21"/>
                <w:szCs w:val="21"/>
                <w:lang w:val="en-US" w:eastAsia="zh-CN" w:bidi="ar-SA"/>
              </w:rPr>
            </w:pPr>
            <w:bookmarkStart w:id="0" w:name="_Hlk28281258"/>
            <w:r>
              <w:rPr>
                <w:rFonts w:hint="eastAsia" w:ascii="Times New Roman" w:hAnsi="Times New Roman"/>
                <w:bCs/>
                <w:sz w:val="21"/>
                <w:szCs w:val="21"/>
                <w:lang w:val="en-US" w:eastAsia="zh-CN"/>
              </w:rPr>
              <w:t>5</w:t>
            </w:r>
          </w:p>
        </w:tc>
        <w:tc>
          <w:tcPr>
            <w:tcW w:w="2532" w:type="pct"/>
            <w:noWrap w:val="0"/>
            <w:vAlign w:val="center"/>
          </w:tcPr>
          <w:p w14:paraId="1D518F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耐水色牢度</w:t>
            </w:r>
          </w:p>
        </w:tc>
        <w:tc>
          <w:tcPr>
            <w:tcW w:w="2044" w:type="pct"/>
            <w:noWrap w:val="0"/>
            <w:vAlign w:val="center"/>
          </w:tcPr>
          <w:p w14:paraId="58FF6A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GB/T 5713—2013</w:t>
            </w:r>
          </w:p>
        </w:tc>
      </w:tr>
      <w:bookmarkEnd w:id="0"/>
      <w:tr w14:paraId="5B41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2" w:type="pct"/>
            <w:shd w:val="clear" w:color="auto" w:fill="auto"/>
            <w:noWrap w:val="0"/>
            <w:vAlign w:val="center"/>
          </w:tcPr>
          <w:p w14:paraId="2CC8B8C3">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6</w:t>
            </w:r>
          </w:p>
        </w:tc>
        <w:tc>
          <w:tcPr>
            <w:tcW w:w="2532" w:type="pct"/>
            <w:noWrap w:val="0"/>
            <w:vAlign w:val="center"/>
          </w:tcPr>
          <w:p w14:paraId="5B2190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非饲料接触用品可触及部件中可迁移元素的限量</w:t>
            </w:r>
          </w:p>
        </w:tc>
        <w:tc>
          <w:tcPr>
            <w:tcW w:w="2044" w:type="pct"/>
            <w:noWrap w:val="0"/>
            <w:vAlign w:val="center"/>
          </w:tcPr>
          <w:p w14:paraId="1D1E1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GB 6675.4—2014</w:t>
            </w:r>
          </w:p>
        </w:tc>
      </w:tr>
      <w:tr w14:paraId="75DF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2" w:type="pct"/>
            <w:noWrap w:val="0"/>
            <w:vAlign w:val="center"/>
          </w:tcPr>
          <w:p w14:paraId="571CDAF2">
            <w:pPr>
              <w:pStyle w:val="5"/>
              <w:spacing w:line="300" w:lineRule="auto"/>
              <w:jc w:val="center"/>
              <w:rPr>
                <w:rFonts w:hint="default" w:ascii="Times New Roman" w:hAnsi="Times New Roman"/>
                <w:bCs/>
                <w:sz w:val="21"/>
                <w:szCs w:val="21"/>
                <w:lang w:val="en-US" w:eastAsia="zh-CN"/>
              </w:rPr>
            </w:pPr>
            <w:r>
              <w:rPr>
                <w:rFonts w:hint="eastAsia" w:ascii="Times New Roman" w:hAnsi="Times New Roman"/>
                <w:bCs/>
                <w:sz w:val="21"/>
                <w:szCs w:val="21"/>
                <w:lang w:val="en-US" w:eastAsia="zh-CN"/>
              </w:rPr>
              <w:t>7</w:t>
            </w:r>
          </w:p>
        </w:tc>
        <w:tc>
          <w:tcPr>
            <w:tcW w:w="2532" w:type="pct"/>
            <w:noWrap w:val="0"/>
            <w:vAlign w:val="center"/>
          </w:tcPr>
          <w:p w14:paraId="20BAFB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塑料材料及制品中邻苯二甲酸酯增塑剂的限量</w:t>
            </w:r>
          </w:p>
        </w:tc>
        <w:tc>
          <w:tcPr>
            <w:tcW w:w="2044" w:type="pct"/>
            <w:noWrap w:val="0"/>
            <w:vAlign w:val="center"/>
          </w:tcPr>
          <w:p w14:paraId="6B4AF0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GB/T 22048—2022</w:t>
            </w:r>
          </w:p>
        </w:tc>
      </w:tr>
    </w:tbl>
    <w:p w14:paraId="180CCBCC">
      <w:pPr>
        <w:adjustRightInd w:val="0"/>
        <w:snapToGrid w:val="0"/>
        <w:spacing w:line="440" w:lineRule="exact"/>
        <w:jc w:val="center"/>
        <w:rPr>
          <w:rFonts w:hint="eastAsia" w:ascii="Times New Roman" w:hAnsi="Times New Roman"/>
          <w:color w:val="auto"/>
          <w:szCs w:val="21"/>
          <w:highlight w:val="none"/>
          <w:lang w:eastAsia="zh-CN"/>
        </w:rPr>
      </w:pPr>
    </w:p>
    <w:p w14:paraId="5E51F341">
      <w:pPr>
        <w:adjustRightInd w:val="0"/>
        <w:snapToGrid w:val="0"/>
        <w:spacing w:line="440" w:lineRule="exact"/>
        <w:jc w:val="center"/>
        <w:rPr>
          <w:rFonts w:hint="eastAsia" w:ascii="Times New Roman" w:hAnsi="Times New Roman"/>
          <w:color w:val="auto"/>
          <w:szCs w:val="21"/>
          <w:highlight w:val="none"/>
          <w:lang w:eastAsia="zh-CN"/>
        </w:rPr>
      </w:pPr>
      <w:r>
        <w:rPr>
          <w:rFonts w:hint="eastAsia" w:ascii="Times New Roman" w:hAnsi="Times New Roman"/>
          <w:color w:val="auto"/>
          <w:szCs w:val="21"/>
          <w:highlight w:val="none"/>
          <w:lang w:eastAsia="zh-CN"/>
        </w:rPr>
        <w:t>表</w:t>
      </w:r>
      <w:r>
        <w:rPr>
          <w:rFonts w:hint="eastAsia" w:ascii="Times New Roman" w:hAnsi="Times New Roman"/>
          <w:color w:val="auto"/>
          <w:szCs w:val="21"/>
          <w:highlight w:val="none"/>
          <w:lang w:val="en-US" w:eastAsia="zh-CN"/>
        </w:rPr>
        <w:t>3</w:t>
      </w:r>
      <w:r>
        <w:rPr>
          <w:rFonts w:hint="eastAsia" w:ascii="Times New Roman" w:hAnsi="Times New Roman"/>
          <w:color w:val="auto"/>
          <w:szCs w:val="21"/>
          <w:highlight w:val="none"/>
          <w:lang w:eastAsia="zh-CN"/>
        </w:rPr>
        <w:t xml:space="preserve"> 宠物服装</w:t>
      </w:r>
    </w:p>
    <w:tbl>
      <w:tblPr>
        <w:tblStyle w:val="11"/>
        <w:tblW w:w="51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722"/>
        <w:gridCol w:w="3898"/>
      </w:tblGrid>
      <w:tr w14:paraId="30CE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32" w:type="pct"/>
            <w:noWrap/>
            <w:vAlign w:val="center"/>
          </w:tcPr>
          <w:p w14:paraId="2D95927A">
            <w:pPr>
              <w:snapToGrid w:val="0"/>
              <w:spacing w:line="300" w:lineRule="exact"/>
              <w:jc w:val="center"/>
              <w:rPr>
                <w:rFonts w:ascii="Times New Roman" w:hAnsi="Times New Roman"/>
                <w:szCs w:val="21"/>
              </w:rPr>
            </w:pPr>
            <w:r>
              <w:rPr>
                <w:rFonts w:ascii="Times New Roman" w:hAnsi="Times New Roman"/>
                <w:szCs w:val="21"/>
              </w:rPr>
              <w:t>序号</w:t>
            </w:r>
          </w:p>
        </w:tc>
        <w:tc>
          <w:tcPr>
            <w:tcW w:w="2502" w:type="pct"/>
            <w:noWrap/>
            <w:vAlign w:val="center"/>
          </w:tcPr>
          <w:p w14:paraId="2A5EF27E">
            <w:pPr>
              <w:snapToGrid w:val="0"/>
              <w:spacing w:line="300" w:lineRule="exact"/>
              <w:jc w:val="center"/>
              <w:rPr>
                <w:rFonts w:ascii="Times New Roman" w:hAnsi="Times New Roman"/>
                <w:szCs w:val="21"/>
              </w:rPr>
            </w:pPr>
            <w:r>
              <w:rPr>
                <w:rFonts w:ascii="Times New Roman" w:hAnsi="Times New Roman"/>
                <w:szCs w:val="21"/>
              </w:rPr>
              <w:t>检验项目</w:t>
            </w:r>
          </w:p>
        </w:tc>
        <w:tc>
          <w:tcPr>
            <w:tcW w:w="2065" w:type="pct"/>
            <w:noWrap/>
            <w:vAlign w:val="center"/>
          </w:tcPr>
          <w:p w14:paraId="0A18208F">
            <w:pPr>
              <w:snapToGrid w:val="0"/>
              <w:spacing w:line="300" w:lineRule="exact"/>
              <w:jc w:val="center"/>
              <w:rPr>
                <w:rFonts w:ascii="Times New Roman" w:hAnsi="Times New Roman"/>
                <w:szCs w:val="21"/>
              </w:rPr>
            </w:pPr>
            <w:r>
              <w:rPr>
                <w:rFonts w:ascii="Times New Roman" w:hAnsi="Times New Roman"/>
                <w:szCs w:val="21"/>
              </w:rPr>
              <w:t>检验方法</w:t>
            </w:r>
          </w:p>
        </w:tc>
      </w:tr>
      <w:tr w14:paraId="615C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2" w:type="pct"/>
            <w:noWrap/>
            <w:vAlign w:val="center"/>
          </w:tcPr>
          <w:p w14:paraId="065DF9A8">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1</w:t>
            </w:r>
          </w:p>
        </w:tc>
        <w:tc>
          <w:tcPr>
            <w:tcW w:w="2502" w:type="pct"/>
            <w:noWrap/>
            <w:vAlign w:val="center"/>
          </w:tcPr>
          <w:p w14:paraId="76DDFA83">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甲醛含量</w:t>
            </w:r>
          </w:p>
        </w:tc>
        <w:tc>
          <w:tcPr>
            <w:tcW w:w="2065" w:type="pct"/>
            <w:noWrap/>
            <w:vAlign w:val="center"/>
          </w:tcPr>
          <w:p w14:paraId="2E4AD471">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GB/T 2912.1—2009</w:t>
            </w:r>
          </w:p>
        </w:tc>
      </w:tr>
      <w:tr w14:paraId="22B0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2" w:type="pct"/>
            <w:noWrap/>
            <w:vAlign w:val="center"/>
          </w:tcPr>
          <w:p w14:paraId="52DD921E">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2</w:t>
            </w:r>
          </w:p>
        </w:tc>
        <w:tc>
          <w:tcPr>
            <w:tcW w:w="2502" w:type="pct"/>
            <w:noWrap/>
            <w:vAlign w:val="center"/>
          </w:tcPr>
          <w:p w14:paraId="593C6DC0">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pH值</w:t>
            </w:r>
          </w:p>
        </w:tc>
        <w:tc>
          <w:tcPr>
            <w:tcW w:w="2065" w:type="pct"/>
            <w:noWrap/>
            <w:vAlign w:val="center"/>
          </w:tcPr>
          <w:p w14:paraId="34CB5F8E">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GB/T 7573—2009</w:t>
            </w:r>
          </w:p>
        </w:tc>
      </w:tr>
      <w:tr w14:paraId="26DC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2" w:type="pct"/>
            <w:shd w:val="clear" w:color="auto" w:fill="auto"/>
            <w:noWrap/>
            <w:vAlign w:val="center"/>
          </w:tcPr>
          <w:p w14:paraId="4DDBBDD0">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3</w:t>
            </w:r>
          </w:p>
        </w:tc>
        <w:tc>
          <w:tcPr>
            <w:tcW w:w="2502" w:type="pct"/>
            <w:shd w:val="clear" w:color="auto" w:fill="auto"/>
            <w:noWrap/>
            <w:vAlign w:val="center"/>
          </w:tcPr>
          <w:p w14:paraId="02999C65">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耐干摩擦色牢度</w:t>
            </w:r>
          </w:p>
        </w:tc>
        <w:tc>
          <w:tcPr>
            <w:tcW w:w="2065" w:type="pct"/>
            <w:shd w:val="clear" w:color="auto" w:fill="auto"/>
            <w:noWrap/>
            <w:vAlign w:val="center"/>
          </w:tcPr>
          <w:p w14:paraId="6023FA4E">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GB/T 3920—2008</w:t>
            </w:r>
          </w:p>
        </w:tc>
      </w:tr>
      <w:tr w14:paraId="32DA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2" w:type="pct"/>
            <w:noWrap/>
            <w:vAlign w:val="center"/>
          </w:tcPr>
          <w:p w14:paraId="58BD55A9">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4</w:t>
            </w:r>
          </w:p>
        </w:tc>
        <w:tc>
          <w:tcPr>
            <w:tcW w:w="2502" w:type="pct"/>
            <w:noWrap/>
            <w:vAlign w:val="center"/>
          </w:tcPr>
          <w:p w14:paraId="7E077D84">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耐水色牢度</w:t>
            </w:r>
          </w:p>
        </w:tc>
        <w:tc>
          <w:tcPr>
            <w:tcW w:w="2065" w:type="pct"/>
            <w:noWrap/>
            <w:vAlign w:val="center"/>
          </w:tcPr>
          <w:p w14:paraId="40C54631">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GB/T 5713—2013</w:t>
            </w:r>
          </w:p>
        </w:tc>
      </w:tr>
      <w:tr w14:paraId="1624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2" w:type="pct"/>
            <w:noWrap/>
            <w:vAlign w:val="center"/>
          </w:tcPr>
          <w:p w14:paraId="7D210F49">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5</w:t>
            </w:r>
          </w:p>
        </w:tc>
        <w:tc>
          <w:tcPr>
            <w:tcW w:w="2502" w:type="pct"/>
            <w:noWrap/>
            <w:vAlign w:val="center"/>
          </w:tcPr>
          <w:p w14:paraId="7BDB08F6">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可分解致癌芳香胺染料</w:t>
            </w:r>
          </w:p>
        </w:tc>
        <w:tc>
          <w:tcPr>
            <w:tcW w:w="2065" w:type="pct"/>
            <w:noWrap/>
            <w:vAlign w:val="center"/>
          </w:tcPr>
          <w:p w14:paraId="11821D61">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GB/T 17592—2024</w:t>
            </w:r>
          </w:p>
          <w:p w14:paraId="5687932C">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GB/T 23344—2009</w:t>
            </w:r>
          </w:p>
        </w:tc>
      </w:tr>
      <w:tr w14:paraId="6679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2" w:type="pct"/>
            <w:shd w:val="clear" w:color="auto" w:fill="auto"/>
            <w:noWrap/>
            <w:vAlign w:val="center"/>
          </w:tcPr>
          <w:p w14:paraId="2B58549F">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6</w:t>
            </w:r>
          </w:p>
        </w:tc>
        <w:tc>
          <w:tcPr>
            <w:tcW w:w="2502" w:type="pct"/>
            <w:noWrap/>
            <w:vAlign w:val="center"/>
          </w:tcPr>
          <w:p w14:paraId="656D3DAF">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异味</w:t>
            </w:r>
          </w:p>
        </w:tc>
        <w:tc>
          <w:tcPr>
            <w:tcW w:w="2065" w:type="pct"/>
            <w:noWrap/>
            <w:vAlign w:val="center"/>
          </w:tcPr>
          <w:p w14:paraId="1B183D69">
            <w:pPr>
              <w:pStyle w:val="5"/>
              <w:spacing w:line="300" w:lineRule="auto"/>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GB 18401—2010</w:t>
            </w:r>
          </w:p>
        </w:tc>
      </w:tr>
    </w:tbl>
    <w:p w14:paraId="18208EC8">
      <w:pPr>
        <w:adjustRightInd w:val="0"/>
        <w:snapToGrid w:val="0"/>
        <w:spacing w:line="440" w:lineRule="exact"/>
        <w:jc w:val="center"/>
        <w:rPr>
          <w:rFonts w:hint="eastAsia" w:ascii="Times New Roman" w:hAnsi="Times New Roman"/>
          <w:color w:val="auto"/>
          <w:szCs w:val="21"/>
          <w:highlight w:val="none"/>
          <w:lang w:eastAsia="zh-CN"/>
        </w:rPr>
      </w:pPr>
    </w:p>
    <w:p w14:paraId="65F5D1F1">
      <w:pPr>
        <w:adjustRightInd w:val="0"/>
        <w:snapToGrid w:val="0"/>
        <w:spacing w:line="440" w:lineRule="exact"/>
        <w:jc w:val="center"/>
        <w:rPr>
          <w:rFonts w:hint="eastAsia" w:ascii="Times New Roman" w:hAnsi="Times New Roman"/>
          <w:color w:val="auto"/>
          <w:szCs w:val="21"/>
          <w:highlight w:val="none"/>
          <w:lang w:eastAsia="zh-CN"/>
        </w:rPr>
      </w:pPr>
      <w:r>
        <w:rPr>
          <w:rFonts w:hint="eastAsia" w:ascii="Times New Roman" w:hAnsi="Times New Roman"/>
          <w:color w:val="auto"/>
          <w:szCs w:val="21"/>
          <w:highlight w:val="none"/>
          <w:lang w:eastAsia="zh-CN"/>
        </w:rPr>
        <w:t>表</w:t>
      </w:r>
      <w:r>
        <w:rPr>
          <w:rFonts w:hint="eastAsia"/>
          <w:color w:val="auto"/>
          <w:szCs w:val="21"/>
          <w:highlight w:val="none"/>
          <w:lang w:val="en-US" w:eastAsia="zh-CN"/>
        </w:rPr>
        <w:t>4</w:t>
      </w:r>
      <w:r>
        <w:rPr>
          <w:rFonts w:hint="eastAsia" w:ascii="Times New Roman" w:hAnsi="Times New Roman"/>
          <w:color w:val="auto"/>
          <w:szCs w:val="21"/>
          <w:highlight w:val="none"/>
          <w:lang w:val="en-US" w:eastAsia="zh-CN"/>
        </w:rPr>
        <w:t xml:space="preserve"> </w:t>
      </w:r>
      <w:r>
        <w:rPr>
          <w:rFonts w:hint="eastAsia" w:ascii="Times New Roman" w:hAnsi="Times New Roman"/>
          <w:color w:val="auto"/>
          <w:szCs w:val="21"/>
          <w:highlight w:val="none"/>
          <w:lang w:eastAsia="zh-CN"/>
        </w:rPr>
        <w:t>宠物卫生用品</w:t>
      </w:r>
    </w:p>
    <w:tbl>
      <w:tblPr>
        <w:tblStyle w:val="11"/>
        <w:tblW w:w="51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4744"/>
        <w:gridCol w:w="3897"/>
      </w:tblGrid>
      <w:tr w14:paraId="1610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26" w:type="pct"/>
            <w:noWrap w:val="0"/>
            <w:vAlign w:val="center"/>
          </w:tcPr>
          <w:p w14:paraId="2910A483">
            <w:pPr>
              <w:jc w:val="center"/>
              <w:rPr>
                <w:rFonts w:ascii="Times New Roman" w:hAnsi="Times New Roman"/>
                <w:szCs w:val="21"/>
              </w:rPr>
            </w:pPr>
            <w:r>
              <w:rPr>
                <w:rFonts w:ascii="Times New Roman" w:hAnsi="Times New Roman"/>
                <w:szCs w:val="21"/>
              </w:rPr>
              <w:t>序号</w:t>
            </w:r>
          </w:p>
        </w:tc>
        <w:tc>
          <w:tcPr>
            <w:tcW w:w="2511" w:type="pct"/>
            <w:noWrap w:val="0"/>
            <w:vAlign w:val="center"/>
          </w:tcPr>
          <w:p w14:paraId="5C2AF7C9">
            <w:pPr>
              <w:jc w:val="center"/>
              <w:rPr>
                <w:rFonts w:ascii="Times New Roman" w:hAnsi="Times New Roman"/>
                <w:szCs w:val="21"/>
              </w:rPr>
            </w:pPr>
            <w:r>
              <w:rPr>
                <w:rFonts w:ascii="Times New Roman" w:hAnsi="Times New Roman"/>
                <w:szCs w:val="21"/>
              </w:rPr>
              <w:t>检验项目</w:t>
            </w:r>
          </w:p>
        </w:tc>
        <w:tc>
          <w:tcPr>
            <w:tcW w:w="2062" w:type="pct"/>
            <w:noWrap w:val="0"/>
            <w:vAlign w:val="center"/>
          </w:tcPr>
          <w:p w14:paraId="1319751D">
            <w:pPr>
              <w:jc w:val="center"/>
              <w:rPr>
                <w:rFonts w:ascii="Times New Roman" w:hAnsi="Times New Roman"/>
                <w:szCs w:val="21"/>
              </w:rPr>
            </w:pPr>
            <w:r>
              <w:rPr>
                <w:rFonts w:ascii="Times New Roman" w:hAnsi="Times New Roman"/>
                <w:szCs w:val="21"/>
              </w:rPr>
              <w:t>检验方法</w:t>
            </w:r>
          </w:p>
        </w:tc>
      </w:tr>
      <w:tr w14:paraId="546A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26" w:type="pct"/>
            <w:shd w:val="clear" w:color="auto" w:fill="auto"/>
            <w:noWrap w:val="0"/>
            <w:vAlign w:val="center"/>
          </w:tcPr>
          <w:p w14:paraId="738285F7">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1</w:t>
            </w:r>
          </w:p>
        </w:tc>
        <w:tc>
          <w:tcPr>
            <w:tcW w:w="2511" w:type="pct"/>
            <w:noWrap w:val="0"/>
            <w:vAlign w:val="center"/>
          </w:tcPr>
          <w:p w14:paraId="5897C8EA">
            <w:pPr>
              <w:pStyle w:val="5"/>
              <w:spacing w:line="300" w:lineRule="auto"/>
              <w:jc w:val="center"/>
              <w:rPr>
                <w:rFonts w:hint="eastAsia"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pH值</w:t>
            </w:r>
            <w:r>
              <w:rPr>
                <w:rFonts w:hint="eastAsia" w:ascii="Times New Roman" w:hAnsi="Times New Roman" w:eastAsia="宋体"/>
                <w:bCs/>
                <w:sz w:val="21"/>
                <w:szCs w:val="21"/>
                <w:vertAlign w:val="superscript"/>
                <w:lang w:val="en-US" w:eastAsia="zh-CN"/>
              </w:rPr>
              <w:t>a</w:t>
            </w:r>
          </w:p>
        </w:tc>
        <w:tc>
          <w:tcPr>
            <w:tcW w:w="2062" w:type="pct"/>
            <w:noWrap w:val="0"/>
            <w:vAlign w:val="center"/>
          </w:tcPr>
          <w:p w14:paraId="444BE48A">
            <w:pPr>
              <w:pStyle w:val="5"/>
              <w:spacing w:line="300" w:lineRule="auto"/>
              <w:jc w:val="center"/>
              <w:rPr>
                <w:rFonts w:hint="eastAsia"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GB/T 28004.1-2021</w:t>
            </w:r>
          </w:p>
        </w:tc>
      </w:tr>
      <w:tr w14:paraId="7CCC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6" w:type="pct"/>
            <w:shd w:val="clear" w:color="auto" w:fill="auto"/>
            <w:noWrap w:val="0"/>
            <w:vAlign w:val="center"/>
          </w:tcPr>
          <w:p w14:paraId="10A77CC4">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2</w:t>
            </w:r>
          </w:p>
        </w:tc>
        <w:tc>
          <w:tcPr>
            <w:tcW w:w="2511" w:type="pct"/>
            <w:noWrap w:val="0"/>
            <w:vAlign w:val="center"/>
          </w:tcPr>
          <w:p w14:paraId="0C17FC1F">
            <w:pPr>
              <w:pStyle w:val="5"/>
              <w:spacing w:line="300" w:lineRule="auto"/>
              <w:jc w:val="center"/>
              <w:rPr>
                <w:rFonts w:hint="eastAsia"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铅</w:t>
            </w:r>
          </w:p>
        </w:tc>
        <w:tc>
          <w:tcPr>
            <w:tcW w:w="2062" w:type="pct"/>
            <w:noWrap w:val="0"/>
            <w:vAlign w:val="center"/>
          </w:tcPr>
          <w:p w14:paraId="51D97C48">
            <w:pPr>
              <w:pStyle w:val="5"/>
              <w:spacing w:line="300" w:lineRule="auto"/>
              <w:jc w:val="center"/>
              <w:rPr>
                <w:rFonts w:hint="eastAsia"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化妆品安全技术规范</w:t>
            </w:r>
          </w:p>
        </w:tc>
      </w:tr>
      <w:tr w14:paraId="16FB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6" w:type="pct"/>
            <w:shd w:val="clear" w:color="auto" w:fill="auto"/>
            <w:noWrap w:val="0"/>
            <w:vAlign w:val="center"/>
          </w:tcPr>
          <w:p w14:paraId="28601BE3">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3</w:t>
            </w:r>
          </w:p>
        </w:tc>
        <w:tc>
          <w:tcPr>
            <w:tcW w:w="2511" w:type="pct"/>
            <w:noWrap w:val="0"/>
            <w:vAlign w:val="center"/>
          </w:tcPr>
          <w:p w14:paraId="5D5FDA30">
            <w:pPr>
              <w:pStyle w:val="5"/>
              <w:spacing w:line="300" w:lineRule="auto"/>
              <w:jc w:val="center"/>
              <w:rPr>
                <w:rFonts w:hint="default" w:ascii="Times New Roman" w:hAnsi="Times New Roman" w:eastAsia="宋体"/>
                <w:bCs/>
                <w:sz w:val="21"/>
                <w:szCs w:val="21"/>
                <w:vertAlign w:val="superscript"/>
                <w:lang w:val="en-US" w:eastAsia="zh-CN"/>
              </w:rPr>
            </w:pPr>
            <w:r>
              <w:rPr>
                <w:rFonts w:hint="eastAsia" w:ascii="Times New Roman" w:hAnsi="Times New Roman" w:eastAsia="宋体"/>
                <w:bCs/>
                <w:sz w:val="21"/>
                <w:szCs w:val="21"/>
                <w:lang w:val="en-US" w:eastAsia="zh-CN"/>
              </w:rPr>
              <w:t>细菌菌落总数</w:t>
            </w:r>
            <w:r>
              <w:rPr>
                <w:rFonts w:hint="eastAsia" w:ascii="Times New Roman" w:hAnsi="Times New Roman" w:eastAsia="宋体"/>
                <w:bCs/>
                <w:sz w:val="21"/>
                <w:szCs w:val="21"/>
                <w:vertAlign w:val="superscript"/>
                <w:lang w:val="en-US" w:eastAsia="zh-CN"/>
              </w:rPr>
              <w:t>b</w:t>
            </w:r>
          </w:p>
        </w:tc>
        <w:tc>
          <w:tcPr>
            <w:tcW w:w="2062" w:type="pct"/>
            <w:noWrap w:val="0"/>
            <w:vAlign w:val="center"/>
          </w:tcPr>
          <w:p w14:paraId="241B9803">
            <w:pPr>
              <w:pStyle w:val="5"/>
              <w:spacing w:line="300" w:lineRule="auto"/>
              <w:jc w:val="center"/>
              <w:rPr>
                <w:rFonts w:hint="eastAsia"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GB 15979-2024</w:t>
            </w:r>
          </w:p>
        </w:tc>
      </w:tr>
      <w:tr w14:paraId="6597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6" w:type="pct"/>
            <w:shd w:val="clear" w:color="auto" w:fill="auto"/>
            <w:noWrap w:val="0"/>
            <w:vAlign w:val="center"/>
          </w:tcPr>
          <w:p w14:paraId="74ECA1E6">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4</w:t>
            </w:r>
          </w:p>
        </w:tc>
        <w:tc>
          <w:tcPr>
            <w:tcW w:w="2511" w:type="pct"/>
            <w:noWrap w:val="0"/>
            <w:vAlign w:val="center"/>
          </w:tcPr>
          <w:p w14:paraId="07C51918">
            <w:pPr>
              <w:pStyle w:val="5"/>
              <w:spacing w:line="300" w:lineRule="auto"/>
              <w:jc w:val="center"/>
              <w:rPr>
                <w:rFonts w:hint="default"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大肠菌群</w:t>
            </w:r>
            <w:r>
              <w:rPr>
                <w:rFonts w:hint="eastAsia" w:ascii="Times New Roman" w:hAnsi="Times New Roman" w:eastAsia="宋体"/>
                <w:bCs/>
                <w:sz w:val="21"/>
                <w:szCs w:val="21"/>
                <w:vertAlign w:val="superscript"/>
                <w:lang w:val="en-US" w:eastAsia="zh-CN"/>
              </w:rPr>
              <w:t>b</w:t>
            </w:r>
          </w:p>
        </w:tc>
        <w:tc>
          <w:tcPr>
            <w:tcW w:w="2062" w:type="pct"/>
            <w:noWrap w:val="0"/>
            <w:vAlign w:val="center"/>
          </w:tcPr>
          <w:p w14:paraId="685E88C9">
            <w:pPr>
              <w:pStyle w:val="5"/>
              <w:spacing w:line="300" w:lineRule="auto"/>
              <w:jc w:val="center"/>
              <w:rPr>
                <w:rFonts w:hint="eastAsia"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GB 15979-2024</w:t>
            </w:r>
          </w:p>
        </w:tc>
      </w:tr>
      <w:tr w14:paraId="5A74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26" w:type="pct"/>
            <w:shd w:val="clear" w:color="auto" w:fill="auto"/>
            <w:noWrap w:val="0"/>
            <w:vAlign w:val="center"/>
          </w:tcPr>
          <w:p w14:paraId="70E0854B">
            <w:pPr>
              <w:pStyle w:val="5"/>
              <w:spacing w:line="300" w:lineRule="auto"/>
              <w:jc w:val="center"/>
              <w:rPr>
                <w:rFonts w:ascii="Times New Roman" w:hAnsi="Times New Roman" w:eastAsia="宋体" w:cs="Times New Roman"/>
                <w:bCs/>
                <w:kern w:val="0"/>
                <w:sz w:val="21"/>
                <w:szCs w:val="21"/>
                <w:lang w:val="en-US" w:eastAsia="zh-CN" w:bidi="ar-SA"/>
              </w:rPr>
            </w:pPr>
            <w:r>
              <w:rPr>
                <w:rFonts w:hint="eastAsia" w:ascii="Times New Roman" w:hAnsi="Times New Roman"/>
                <w:bCs/>
                <w:sz w:val="21"/>
                <w:szCs w:val="21"/>
                <w:lang w:val="en-US" w:eastAsia="zh-CN"/>
              </w:rPr>
              <w:t>5</w:t>
            </w:r>
          </w:p>
        </w:tc>
        <w:tc>
          <w:tcPr>
            <w:tcW w:w="2511" w:type="pct"/>
            <w:noWrap w:val="0"/>
            <w:vAlign w:val="center"/>
          </w:tcPr>
          <w:p w14:paraId="03191A7A">
            <w:pPr>
              <w:pStyle w:val="5"/>
              <w:spacing w:line="300" w:lineRule="auto"/>
              <w:jc w:val="center"/>
              <w:rPr>
                <w:rFonts w:hint="eastAsia"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金黄色葡萄球菌</w:t>
            </w:r>
            <w:r>
              <w:rPr>
                <w:rFonts w:hint="eastAsia" w:ascii="Times New Roman" w:hAnsi="Times New Roman" w:eastAsia="宋体"/>
                <w:bCs/>
                <w:sz w:val="21"/>
                <w:szCs w:val="21"/>
                <w:vertAlign w:val="superscript"/>
                <w:lang w:val="en-US" w:eastAsia="zh-CN"/>
              </w:rPr>
              <w:t>b</w:t>
            </w:r>
          </w:p>
        </w:tc>
        <w:tc>
          <w:tcPr>
            <w:tcW w:w="2062" w:type="pct"/>
            <w:noWrap w:val="0"/>
            <w:vAlign w:val="center"/>
          </w:tcPr>
          <w:p w14:paraId="5112CE4A">
            <w:pPr>
              <w:pStyle w:val="5"/>
              <w:spacing w:line="300" w:lineRule="auto"/>
              <w:jc w:val="center"/>
              <w:rPr>
                <w:rFonts w:hint="eastAsia"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GB 15979-2024</w:t>
            </w:r>
          </w:p>
        </w:tc>
      </w:tr>
      <w:tr w14:paraId="6E40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3"/>
            <w:shd w:val="clear" w:color="auto" w:fill="auto"/>
            <w:noWrap w:val="0"/>
            <w:vAlign w:val="center"/>
          </w:tcPr>
          <w:p w14:paraId="244A4536">
            <w:pPr>
              <w:pStyle w:val="5"/>
              <w:spacing w:line="300" w:lineRule="auto"/>
              <w:jc w:val="left"/>
              <w:rPr>
                <w:rFonts w:hint="eastAsia" w:ascii="Times New Roman" w:hAnsi="Times New Roman" w:eastAsia="宋体"/>
                <w:bCs/>
                <w:sz w:val="21"/>
                <w:szCs w:val="21"/>
                <w:lang w:val="en-US" w:eastAsia="zh-CN"/>
              </w:rPr>
            </w:pPr>
            <w:r>
              <w:rPr>
                <w:rFonts w:hint="eastAsia" w:ascii="Times New Roman" w:hAnsi="Times New Roman" w:eastAsia="宋体"/>
                <w:bCs/>
                <w:sz w:val="21"/>
                <w:szCs w:val="21"/>
                <w:vertAlign w:val="baseline"/>
                <w:lang w:val="en-US" w:eastAsia="zh-CN"/>
              </w:rPr>
              <w:t>a仅</w:t>
            </w:r>
            <w:r>
              <w:rPr>
                <w:rFonts w:hint="eastAsia" w:ascii="Times New Roman" w:hAnsi="Times New Roman" w:eastAsia="宋体"/>
                <w:bCs/>
                <w:sz w:val="21"/>
                <w:szCs w:val="21"/>
                <w:lang w:val="en-US" w:eastAsia="zh-CN"/>
              </w:rPr>
              <w:t>直接接触宠物皮肤的排泄物用品（纸尿裤、纸尿垫、纸尿片）。</w:t>
            </w:r>
          </w:p>
          <w:p w14:paraId="5DAEB9FF">
            <w:pPr>
              <w:pStyle w:val="5"/>
              <w:spacing w:line="300" w:lineRule="auto"/>
              <w:jc w:val="left"/>
              <w:rPr>
                <w:rFonts w:hint="eastAsia" w:ascii="Times New Roman" w:hAnsi="Times New Roman" w:eastAsia="宋体"/>
                <w:bCs/>
                <w:sz w:val="21"/>
                <w:szCs w:val="21"/>
                <w:lang w:val="en-US" w:eastAsia="zh-CN"/>
              </w:rPr>
            </w:pPr>
            <w:bookmarkStart w:id="1" w:name="_GoBack"/>
            <w:r>
              <w:rPr>
                <w:rFonts w:hint="eastAsia" w:ascii="Times New Roman" w:hAnsi="Times New Roman" w:eastAsia="宋体"/>
                <w:bCs/>
                <w:sz w:val="21"/>
                <w:szCs w:val="21"/>
                <w:highlight w:val="none"/>
                <w:lang w:val="en-US" w:eastAsia="zh-CN"/>
              </w:rPr>
              <w:t>b仅不含抗(或抑)菌成分的宠物卫生用品。</w:t>
            </w:r>
            <w:bookmarkEnd w:id="1"/>
          </w:p>
        </w:tc>
      </w:tr>
    </w:tbl>
    <w:p w14:paraId="28F765E4">
      <w:pPr>
        <w:snapToGrid w:val="0"/>
        <w:spacing w:line="440" w:lineRule="exact"/>
        <w:ind w:firstLine="359" w:firstLineChars="171"/>
        <w:rPr>
          <w:rFonts w:ascii="Times New Roman" w:hAnsi="Times New Roman"/>
          <w:szCs w:val="21"/>
        </w:rPr>
      </w:pPr>
      <w:r>
        <w:rPr>
          <w:rFonts w:ascii="Times New Roman" w:hAnsi="Times New Roman"/>
          <w:szCs w:val="21"/>
        </w:rPr>
        <w:t>执行企业标准、团体标准、地方标准的产品，检验项目参照上述内容执行。</w:t>
      </w:r>
    </w:p>
    <w:p w14:paraId="3623EE94">
      <w:pPr>
        <w:spacing w:line="360" w:lineRule="auto"/>
        <w:rPr>
          <w:rFonts w:ascii="Times New Roman" w:hAnsi="Times New Roman" w:eastAsia="黑体"/>
          <w:szCs w:val="21"/>
        </w:rPr>
      </w:pPr>
    </w:p>
    <w:p w14:paraId="31109301">
      <w:pPr>
        <w:spacing w:line="360" w:lineRule="auto"/>
        <w:rPr>
          <w:rFonts w:ascii="Times New Roman" w:hAnsi="Times New Roman" w:eastAsia="黑体"/>
          <w:szCs w:val="21"/>
        </w:rPr>
      </w:pPr>
      <w:r>
        <w:rPr>
          <w:rFonts w:ascii="Times New Roman" w:hAnsi="Times New Roman" w:eastAsia="黑体"/>
          <w:szCs w:val="21"/>
        </w:rPr>
        <w:t>3 判定规则</w:t>
      </w:r>
    </w:p>
    <w:p w14:paraId="252A6A2C">
      <w:pPr>
        <w:snapToGrid w:val="0"/>
        <w:spacing w:line="440" w:lineRule="exact"/>
        <w:rPr>
          <w:rFonts w:ascii="Times New Roman" w:hAnsi="Times New Roman"/>
          <w:szCs w:val="21"/>
        </w:rPr>
      </w:pPr>
      <w:r>
        <w:rPr>
          <w:rFonts w:ascii="Times New Roman" w:hAnsi="Times New Roman"/>
          <w:szCs w:val="21"/>
        </w:rPr>
        <w:t>3.1依据标准</w:t>
      </w:r>
    </w:p>
    <w:p w14:paraId="5C3F2930">
      <w:pPr>
        <w:adjustRightInd w:val="0"/>
        <w:snapToGrid w:val="0"/>
        <w:spacing w:line="440" w:lineRule="exact"/>
        <w:ind w:firstLine="420" w:firstLineChars="200"/>
        <w:rPr>
          <w:rFonts w:ascii="Times New Roman" w:hAnsi="Times New Roman"/>
          <w:szCs w:val="21"/>
        </w:rPr>
      </w:pPr>
      <w:r>
        <w:rPr>
          <w:rFonts w:ascii="Times New Roman" w:hAnsi="Times New Roman"/>
          <w:szCs w:val="21"/>
        </w:rPr>
        <w:t>GB 6675.2</w:t>
      </w:r>
      <w:r>
        <w:rPr>
          <w:rFonts w:hint="eastAsia" w:ascii="Times New Roman" w:hAnsi="Times New Roman"/>
          <w:lang w:eastAsia="zh-CN"/>
        </w:rPr>
        <w:t>-</w:t>
      </w:r>
      <w:r>
        <w:rPr>
          <w:rFonts w:ascii="Times New Roman" w:hAnsi="Times New Roman"/>
          <w:szCs w:val="21"/>
        </w:rPr>
        <w:t>2014</w:t>
      </w:r>
      <w:r>
        <w:rPr>
          <w:rFonts w:hint="eastAsia"/>
          <w:szCs w:val="21"/>
          <w:lang w:val="en-US" w:eastAsia="zh-CN"/>
        </w:rPr>
        <w:t xml:space="preserve">  </w:t>
      </w:r>
      <w:r>
        <w:rPr>
          <w:rFonts w:ascii="Times New Roman" w:hAnsi="Times New Roman"/>
          <w:szCs w:val="21"/>
        </w:rPr>
        <w:t>玩具安全 第2部分：机械与物理性能</w:t>
      </w:r>
      <w:r>
        <w:rPr>
          <w:rFonts w:ascii="Times New Roman" w:hAnsi="Times New Roman"/>
          <w:kern w:val="0"/>
          <w:szCs w:val="21"/>
        </w:rPr>
        <w:t>（含第1号修改单）</w:t>
      </w:r>
    </w:p>
    <w:p w14:paraId="137959E9">
      <w:pPr>
        <w:adjustRightInd w:val="0"/>
        <w:snapToGrid w:val="0"/>
        <w:spacing w:line="440" w:lineRule="exact"/>
        <w:ind w:firstLine="420" w:firstLineChars="200"/>
        <w:rPr>
          <w:rFonts w:ascii="Times New Roman" w:hAnsi="Times New Roman"/>
          <w:szCs w:val="21"/>
        </w:rPr>
      </w:pPr>
      <w:r>
        <w:rPr>
          <w:rFonts w:ascii="Times New Roman" w:hAnsi="Times New Roman"/>
          <w:szCs w:val="21"/>
        </w:rPr>
        <w:t>GB 6675.4</w:t>
      </w:r>
      <w:r>
        <w:rPr>
          <w:rFonts w:hint="eastAsia" w:ascii="Times New Roman" w:hAnsi="Times New Roman"/>
          <w:lang w:eastAsia="zh-CN"/>
        </w:rPr>
        <w:t>-</w:t>
      </w:r>
      <w:r>
        <w:rPr>
          <w:rFonts w:ascii="Times New Roman" w:hAnsi="Times New Roman"/>
          <w:szCs w:val="21"/>
        </w:rPr>
        <w:t xml:space="preserve">2014 </w:t>
      </w:r>
      <w:r>
        <w:rPr>
          <w:rFonts w:hint="eastAsia"/>
          <w:szCs w:val="21"/>
          <w:lang w:val="en-US" w:eastAsia="zh-CN"/>
        </w:rPr>
        <w:t xml:space="preserve"> </w:t>
      </w:r>
      <w:r>
        <w:rPr>
          <w:rFonts w:ascii="Times New Roman" w:hAnsi="Times New Roman"/>
          <w:szCs w:val="21"/>
        </w:rPr>
        <w:t>玩具安全 第4部分：特定元素的迁移</w:t>
      </w:r>
    </w:p>
    <w:p w14:paraId="78309E94">
      <w:pPr>
        <w:adjustRightInd w:val="0"/>
        <w:snapToGrid w:val="0"/>
        <w:spacing w:line="440" w:lineRule="exact"/>
        <w:ind w:firstLine="420" w:firstLineChars="200"/>
        <w:rPr>
          <w:rFonts w:ascii="Times New Roman" w:hAnsi="Times New Roman" w:eastAsia="宋体"/>
          <w:szCs w:val="21"/>
        </w:rPr>
      </w:pPr>
      <w:r>
        <w:rPr>
          <w:rFonts w:ascii="Times New Roman" w:hAnsi="Times New Roman" w:eastAsia="宋体"/>
          <w:szCs w:val="21"/>
        </w:rPr>
        <w:t>GB/T 22048</w:t>
      </w:r>
      <w:r>
        <w:rPr>
          <w:rFonts w:hint="eastAsia" w:ascii="Times New Roman" w:hAnsi="Times New Roman" w:eastAsia="宋体"/>
          <w:szCs w:val="21"/>
          <w:lang w:eastAsia="zh-CN"/>
        </w:rPr>
        <w:t>-</w:t>
      </w:r>
      <w:r>
        <w:rPr>
          <w:rFonts w:ascii="Times New Roman" w:hAnsi="Times New Roman" w:eastAsia="宋体"/>
          <w:szCs w:val="21"/>
        </w:rPr>
        <w:t xml:space="preserve">2022 </w:t>
      </w:r>
      <w:r>
        <w:rPr>
          <w:rFonts w:hint="eastAsia"/>
          <w:szCs w:val="21"/>
          <w:lang w:val="en-US" w:eastAsia="zh-CN"/>
        </w:rPr>
        <w:t xml:space="preserve"> </w:t>
      </w:r>
      <w:r>
        <w:rPr>
          <w:rFonts w:ascii="Times New Roman" w:hAnsi="Times New Roman" w:eastAsia="宋体"/>
          <w:szCs w:val="21"/>
        </w:rPr>
        <w:t>玩具及儿童用品中特定邻苯二甲酸酯增塑剂的测定</w:t>
      </w:r>
    </w:p>
    <w:p w14:paraId="3793E82C">
      <w:pPr>
        <w:adjustRightInd w:val="0"/>
        <w:snapToGrid w:val="0"/>
        <w:spacing w:line="440" w:lineRule="exact"/>
        <w:ind w:firstLine="420" w:firstLineChars="200"/>
        <w:rPr>
          <w:rFonts w:hint="eastAsia" w:ascii="Times New Roman" w:hAnsi="Times New Roman" w:eastAsia="宋体"/>
          <w:szCs w:val="21"/>
        </w:rPr>
      </w:pPr>
      <w:r>
        <w:rPr>
          <w:rFonts w:hint="eastAsia" w:ascii="Times New Roman" w:hAnsi="Times New Roman" w:eastAsia="宋体"/>
          <w:szCs w:val="21"/>
        </w:rPr>
        <w:t xml:space="preserve">GB 18401—2010 </w:t>
      </w:r>
      <w:r>
        <w:rPr>
          <w:rFonts w:hint="eastAsia"/>
          <w:szCs w:val="21"/>
          <w:lang w:val="en-US" w:eastAsia="zh-CN"/>
        </w:rPr>
        <w:t xml:space="preserve"> </w:t>
      </w:r>
      <w:r>
        <w:rPr>
          <w:rFonts w:hint="eastAsia" w:ascii="Times New Roman" w:hAnsi="Times New Roman" w:eastAsia="宋体"/>
          <w:szCs w:val="21"/>
        </w:rPr>
        <w:t>《国家纺织产品基本安全技术规范》</w:t>
      </w:r>
    </w:p>
    <w:p w14:paraId="080BC04A">
      <w:pPr>
        <w:adjustRightInd w:val="0"/>
        <w:snapToGrid w:val="0"/>
        <w:spacing w:line="440" w:lineRule="exact"/>
        <w:ind w:firstLine="420" w:firstLineChars="200"/>
        <w:rPr>
          <w:rFonts w:hint="eastAsia" w:ascii="Times New Roman" w:hAnsi="Times New Roman" w:eastAsia="宋体"/>
          <w:szCs w:val="21"/>
          <w:lang w:val="en-US" w:eastAsia="zh-CN"/>
        </w:rPr>
      </w:pPr>
      <w:r>
        <w:rPr>
          <w:rFonts w:ascii="Times New Roman" w:hAnsi="Times New Roman" w:eastAsia="宋体"/>
          <w:szCs w:val="21"/>
          <w:lang w:val="en-US" w:eastAsia="zh-CN"/>
        </w:rPr>
        <w:t>GB</w:t>
      </w:r>
      <w:r>
        <w:rPr>
          <w:rFonts w:hint="eastAsia" w:ascii="Times New Roman" w:hAnsi="Times New Roman" w:eastAsia="宋体"/>
          <w:szCs w:val="21"/>
          <w:lang w:val="en-US" w:eastAsia="zh-CN"/>
        </w:rPr>
        <w:t>/T</w:t>
      </w:r>
      <w:r>
        <w:rPr>
          <w:rFonts w:ascii="Times New Roman" w:hAnsi="Times New Roman" w:eastAsia="宋体"/>
          <w:szCs w:val="21"/>
          <w:lang w:val="en-US" w:eastAsia="zh-CN"/>
        </w:rPr>
        <w:t xml:space="preserve"> </w:t>
      </w:r>
      <w:r>
        <w:rPr>
          <w:rFonts w:hint="eastAsia" w:ascii="Times New Roman" w:hAnsi="Times New Roman" w:eastAsia="宋体"/>
          <w:szCs w:val="21"/>
          <w:lang w:val="en-US" w:eastAsia="zh-CN"/>
        </w:rPr>
        <w:t>43839-</w:t>
      </w:r>
      <w:r>
        <w:rPr>
          <w:rFonts w:ascii="Times New Roman" w:hAnsi="Times New Roman" w:eastAsia="宋体"/>
          <w:szCs w:val="21"/>
          <w:lang w:val="en-US" w:eastAsia="zh-CN"/>
        </w:rPr>
        <w:t>20</w:t>
      </w:r>
      <w:r>
        <w:rPr>
          <w:rFonts w:hint="eastAsia" w:ascii="Times New Roman" w:hAnsi="Times New Roman" w:eastAsia="宋体"/>
          <w:szCs w:val="21"/>
          <w:lang w:val="en-US" w:eastAsia="zh-CN"/>
        </w:rPr>
        <w:t>2</w:t>
      </w:r>
      <w:r>
        <w:rPr>
          <w:rFonts w:ascii="Times New Roman" w:hAnsi="Times New Roman" w:eastAsia="宋体"/>
          <w:szCs w:val="21"/>
          <w:lang w:val="en-US" w:eastAsia="zh-CN"/>
        </w:rPr>
        <w:t>4</w:t>
      </w:r>
      <w:r>
        <w:rPr>
          <w:rFonts w:hint="eastAsia" w:ascii="Times New Roman" w:hAnsi="Times New Roman" w:eastAsia="宋体"/>
          <w:szCs w:val="21"/>
          <w:lang w:val="en-US" w:eastAsia="zh-CN"/>
        </w:rPr>
        <w:t xml:space="preserve">  伴侣动物（宠物）用品安全技术要求</w:t>
      </w:r>
    </w:p>
    <w:p w14:paraId="3EBC0C9F">
      <w:pPr>
        <w:adjustRightInd w:val="0"/>
        <w:snapToGrid w:val="0"/>
        <w:spacing w:line="440" w:lineRule="exact"/>
        <w:ind w:firstLine="420" w:firstLineChars="200"/>
        <w:rPr>
          <w:rFonts w:hint="eastAsia" w:ascii="Times New Roman" w:hAnsi="Times New Roman" w:eastAsia="宋体"/>
          <w:szCs w:val="21"/>
          <w:lang w:val="en-US" w:eastAsia="zh-CN"/>
        </w:rPr>
      </w:pPr>
      <w:r>
        <w:rPr>
          <w:rFonts w:hint="eastAsia" w:ascii="Times New Roman" w:hAnsi="Times New Roman" w:eastAsia="宋体"/>
          <w:szCs w:val="21"/>
          <w:lang w:val="en-US" w:eastAsia="zh-CN"/>
        </w:rPr>
        <w:t>GB/T 3920—2008  纺织品 色牢度试验 耐摩擦色牢度</w:t>
      </w:r>
    </w:p>
    <w:p w14:paraId="2A00CD73">
      <w:pPr>
        <w:adjustRightInd w:val="0"/>
        <w:snapToGrid w:val="0"/>
        <w:spacing w:line="440" w:lineRule="exact"/>
        <w:ind w:firstLine="420" w:firstLineChars="200"/>
        <w:rPr>
          <w:rFonts w:hint="eastAsia" w:ascii="Times New Roman" w:hAnsi="Times New Roman" w:eastAsia="宋体"/>
          <w:szCs w:val="21"/>
          <w:lang w:val="en-US" w:eastAsia="zh-CN"/>
        </w:rPr>
      </w:pPr>
      <w:r>
        <w:rPr>
          <w:rFonts w:hint="eastAsia" w:ascii="Times New Roman" w:hAnsi="Times New Roman" w:eastAsia="宋体"/>
          <w:szCs w:val="21"/>
          <w:lang w:val="en-US" w:eastAsia="zh-CN"/>
        </w:rPr>
        <w:t>GB/T 5713—2013  纺织品 色牢度试验 耐水色牢度</w:t>
      </w:r>
    </w:p>
    <w:p w14:paraId="3B9FCAD4">
      <w:pPr>
        <w:adjustRightInd w:val="0"/>
        <w:snapToGrid w:val="0"/>
        <w:spacing w:line="440" w:lineRule="exact"/>
        <w:ind w:firstLine="420" w:firstLineChars="200"/>
        <w:rPr>
          <w:rFonts w:hint="default" w:ascii="Times New Roman" w:hAnsi="Times New Roman" w:eastAsia="宋体"/>
          <w:szCs w:val="21"/>
          <w:lang w:val="en-US" w:eastAsia="zh-CN"/>
        </w:rPr>
      </w:pPr>
      <w:r>
        <w:rPr>
          <w:rFonts w:hint="eastAsia" w:ascii="Times New Roman" w:hAnsi="Times New Roman" w:eastAsia="宋体"/>
          <w:szCs w:val="21"/>
          <w:lang w:val="en-US" w:eastAsia="zh-CN"/>
        </w:rPr>
        <w:t>GB/T 2912.1—2009  纺织品 甲醛的测定 第1部分：游离和水解的甲醛（水萃取法）</w:t>
      </w:r>
    </w:p>
    <w:p w14:paraId="4D390612">
      <w:pPr>
        <w:adjustRightInd w:val="0"/>
        <w:snapToGrid w:val="0"/>
        <w:spacing w:line="440" w:lineRule="exact"/>
        <w:ind w:firstLine="420" w:firstLineChars="200"/>
        <w:rPr>
          <w:rFonts w:hint="eastAsia" w:ascii="Times New Roman" w:hAnsi="Times New Roman" w:eastAsia="宋体"/>
          <w:szCs w:val="21"/>
          <w:lang w:val="en-US" w:eastAsia="zh-CN"/>
        </w:rPr>
      </w:pPr>
      <w:r>
        <w:rPr>
          <w:rFonts w:hint="eastAsia" w:ascii="Times New Roman" w:hAnsi="Times New Roman" w:eastAsia="宋体"/>
          <w:szCs w:val="21"/>
          <w:lang w:val="en-US" w:eastAsia="zh-CN"/>
        </w:rPr>
        <w:t>GB/T 7573—2009  纺织品 水萃取液pH值的测定</w:t>
      </w:r>
    </w:p>
    <w:p w14:paraId="6BF574C4">
      <w:pPr>
        <w:adjustRightInd w:val="0"/>
        <w:snapToGrid w:val="0"/>
        <w:spacing w:line="440" w:lineRule="exact"/>
        <w:ind w:firstLine="420" w:firstLineChars="200"/>
        <w:rPr>
          <w:rFonts w:hint="eastAsia" w:ascii="Times New Roman" w:hAnsi="Times New Roman" w:eastAsia="宋体"/>
          <w:szCs w:val="21"/>
          <w:lang w:val="en-US" w:eastAsia="zh-CN"/>
        </w:rPr>
      </w:pPr>
      <w:r>
        <w:rPr>
          <w:rFonts w:hint="eastAsia" w:ascii="Times New Roman" w:hAnsi="Times New Roman" w:eastAsia="宋体"/>
          <w:szCs w:val="21"/>
          <w:lang w:val="en-US" w:eastAsia="zh-CN"/>
        </w:rPr>
        <w:t xml:space="preserve">GB 15979-2024 </w:t>
      </w:r>
      <w:r>
        <w:rPr>
          <w:rFonts w:hint="eastAsia"/>
          <w:szCs w:val="21"/>
          <w:lang w:val="en-US" w:eastAsia="zh-CN"/>
        </w:rPr>
        <w:t xml:space="preserve"> </w:t>
      </w:r>
      <w:r>
        <w:rPr>
          <w:rFonts w:hint="eastAsia" w:ascii="Times New Roman" w:hAnsi="Times New Roman" w:eastAsia="宋体"/>
          <w:szCs w:val="21"/>
          <w:lang w:val="en-US" w:eastAsia="zh-CN"/>
        </w:rPr>
        <w:t>一次性使用卫生用品卫生要求</w:t>
      </w:r>
    </w:p>
    <w:p w14:paraId="2C33B860">
      <w:pPr>
        <w:adjustRightInd w:val="0"/>
        <w:snapToGrid w:val="0"/>
        <w:spacing w:line="440" w:lineRule="exact"/>
        <w:ind w:firstLine="420" w:firstLineChars="200"/>
        <w:rPr>
          <w:rFonts w:hint="default" w:ascii="Times New Roman" w:hAnsi="Times New Roman" w:eastAsia="宋体"/>
          <w:szCs w:val="21"/>
          <w:lang w:val="en-US" w:eastAsia="zh-CN"/>
        </w:rPr>
      </w:pPr>
      <w:r>
        <w:rPr>
          <w:rFonts w:hint="eastAsia" w:ascii="Times New Roman" w:hAnsi="Times New Roman" w:eastAsia="宋体"/>
          <w:szCs w:val="21"/>
          <w:lang w:val="en-US" w:eastAsia="zh-CN"/>
        </w:rPr>
        <w:t xml:space="preserve">GB/T 17592—2024 </w:t>
      </w:r>
      <w:r>
        <w:rPr>
          <w:rFonts w:hint="eastAsia"/>
          <w:szCs w:val="21"/>
          <w:lang w:val="en-US" w:eastAsia="zh-CN"/>
        </w:rPr>
        <w:t xml:space="preserve"> </w:t>
      </w:r>
      <w:r>
        <w:rPr>
          <w:rFonts w:hint="eastAsia" w:ascii="Times New Roman" w:hAnsi="Times New Roman" w:eastAsia="宋体"/>
          <w:szCs w:val="21"/>
          <w:lang w:val="en-US" w:eastAsia="zh-CN"/>
        </w:rPr>
        <w:t>纺织品 禁用偶氮染料的测定</w:t>
      </w:r>
    </w:p>
    <w:p w14:paraId="224DAC0F">
      <w:pPr>
        <w:adjustRightInd w:val="0"/>
        <w:snapToGrid w:val="0"/>
        <w:spacing w:line="440" w:lineRule="exact"/>
        <w:ind w:firstLine="420" w:firstLineChars="200"/>
        <w:rPr>
          <w:rFonts w:hint="default" w:ascii="Times New Roman" w:hAnsi="Times New Roman" w:eastAsia="宋体"/>
          <w:szCs w:val="21"/>
          <w:lang w:val="en-US" w:eastAsia="zh-CN"/>
        </w:rPr>
      </w:pPr>
      <w:r>
        <w:rPr>
          <w:rFonts w:hint="eastAsia" w:ascii="Times New Roman" w:hAnsi="Times New Roman" w:eastAsia="宋体"/>
          <w:szCs w:val="21"/>
          <w:lang w:val="en-US" w:eastAsia="zh-CN"/>
        </w:rPr>
        <w:t xml:space="preserve">GB/T 23344—2009 </w:t>
      </w:r>
      <w:r>
        <w:rPr>
          <w:rFonts w:hint="eastAsia"/>
          <w:szCs w:val="21"/>
          <w:lang w:val="en-US" w:eastAsia="zh-CN"/>
        </w:rPr>
        <w:t xml:space="preserve"> </w:t>
      </w:r>
      <w:r>
        <w:rPr>
          <w:rFonts w:hint="eastAsia" w:ascii="Times New Roman" w:hAnsi="Times New Roman" w:eastAsia="宋体"/>
          <w:szCs w:val="21"/>
          <w:lang w:val="en-US" w:eastAsia="zh-CN"/>
        </w:rPr>
        <w:t>纺织品 4-氨基偶氮苯的测定</w:t>
      </w:r>
    </w:p>
    <w:p w14:paraId="5E29947E">
      <w:pPr>
        <w:snapToGrid w:val="0"/>
        <w:spacing w:line="440" w:lineRule="exact"/>
        <w:ind w:firstLine="359" w:firstLineChars="171"/>
        <w:rPr>
          <w:rFonts w:ascii="Times New Roman" w:hAnsi="Times New Roman"/>
          <w:szCs w:val="21"/>
        </w:rPr>
      </w:pPr>
      <w:r>
        <w:rPr>
          <w:rFonts w:ascii="Times New Roman" w:hAnsi="Times New Roman"/>
          <w:szCs w:val="21"/>
        </w:rPr>
        <w:t>现行有效的企业标准、团体标准、地方标准及产品明示质量要求</w:t>
      </w:r>
    </w:p>
    <w:p w14:paraId="4970E036">
      <w:pPr>
        <w:snapToGrid w:val="0"/>
        <w:spacing w:line="440" w:lineRule="exact"/>
        <w:rPr>
          <w:rFonts w:ascii="Times New Roman" w:hAnsi="Times New Roman"/>
          <w:szCs w:val="21"/>
        </w:rPr>
      </w:pPr>
      <w:r>
        <w:rPr>
          <w:rFonts w:ascii="Times New Roman" w:hAnsi="Times New Roman"/>
          <w:szCs w:val="21"/>
        </w:rPr>
        <w:t>3.2判定原则</w:t>
      </w:r>
    </w:p>
    <w:p w14:paraId="16817AC8">
      <w:pPr>
        <w:snapToGrid w:val="0"/>
        <w:spacing w:line="440" w:lineRule="exact"/>
        <w:ind w:firstLine="420" w:firstLineChars="200"/>
        <w:rPr>
          <w:rFonts w:ascii="Times New Roman" w:hAnsi="Times New Roman"/>
          <w:szCs w:val="21"/>
        </w:rPr>
      </w:pPr>
      <w:r>
        <w:rPr>
          <w:rFonts w:ascii="Times New Roman" w:hAnsi="Times New Roman"/>
          <w:szCs w:val="21"/>
        </w:rPr>
        <w:t>经检验，检验项目全部合格，判定为被抽查产品所检项目未发现不合格；检验项目中任一项或一项以上不合格，判定为被抽查产品不合格。</w:t>
      </w:r>
    </w:p>
    <w:p w14:paraId="72233BB4">
      <w:pPr>
        <w:snapToGrid w:val="0"/>
        <w:spacing w:line="440" w:lineRule="exact"/>
        <w:ind w:firstLine="417" w:firstLineChars="199"/>
        <w:rPr>
          <w:rFonts w:ascii="Times New Roman" w:hAnsi="Times New Roman"/>
          <w:szCs w:val="21"/>
        </w:rPr>
      </w:pPr>
      <w:r>
        <w:rPr>
          <w:rFonts w:ascii="Times New Roman" w:hAnsi="Times New Roman"/>
          <w:szCs w:val="21"/>
        </w:rPr>
        <w:t>若被检产品明示的质量要求高于本细则中检验项目依据的标准要求时，应按被检产品明示的质量要求判定。</w:t>
      </w:r>
    </w:p>
    <w:p w14:paraId="401A018E">
      <w:pPr>
        <w:snapToGrid w:val="0"/>
        <w:spacing w:line="440" w:lineRule="exact"/>
        <w:ind w:firstLine="417" w:firstLineChars="199"/>
        <w:rPr>
          <w:rFonts w:ascii="Times New Roman" w:hAnsi="Times New Roman"/>
          <w:szCs w:val="21"/>
        </w:rPr>
      </w:pPr>
      <w:r>
        <w:rPr>
          <w:rFonts w:ascii="Times New Roman" w:hAnsi="Times New Roman"/>
          <w:szCs w:val="21"/>
        </w:rPr>
        <w:t>若被检产品明示的质量要求低于本细则中检验项目依据的强制性标准要求时，应按照强制性标准要求判定。</w:t>
      </w:r>
    </w:p>
    <w:p w14:paraId="4C08B4FE">
      <w:pPr>
        <w:snapToGrid w:val="0"/>
        <w:spacing w:line="440" w:lineRule="exact"/>
        <w:ind w:firstLine="417" w:firstLineChars="199"/>
        <w:rPr>
          <w:rFonts w:ascii="Times New Roman" w:hAnsi="Times New Roman"/>
          <w:szCs w:val="21"/>
        </w:rPr>
      </w:pPr>
      <w:r>
        <w:rPr>
          <w:rFonts w:ascii="Times New Roman" w:hAnsi="Times New Roman"/>
          <w:szCs w:val="21"/>
        </w:rPr>
        <w:t>若被检产品明示的质量要求低于或包含本细则中检验项目依据的推荐性标准要求时，应以被检产品明示的质量要求判定。</w:t>
      </w:r>
    </w:p>
    <w:p w14:paraId="34E48513">
      <w:pPr>
        <w:snapToGrid w:val="0"/>
        <w:spacing w:line="440" w:lineRule="exact"/>
        <w:ind w:firstLine="417" w:firstLineChars="199"/>
        <w:rPr>
          <w:rFonts w:ascii="Times New Roman" w:hAnsi="Times New Roman"/>
          <w:szCs w:val="21"/>
        </w:rPr>
      </w:pPr>
      <w:r>
        <w:rPr>
          <w:rFonts w:ascii="Times New Roman" w:hAnsi="Times New Roman"/>
          <w:szCs w:val="21"/>
        </w:rPr>
        <w:t>若被检产品明示的质量要求缺少本细则中检验项目依据的强制性标准要求时，应按照强制性标准要求判定。</w:t>
      </w:r>
    </w:p>
    <w:p w14:paraId="7FACE3E3">
      <w:pPr>
        <w:snapToGrid w:val="0"/>
        <w:spacing w:line="440" w:lineRule="exact"/>
        <w:ind w:firstLine="417" w:firstLineChars="199"/>
        <w:rPr>
          <w:rFonts w:ascii="Times New Roman" w:hAnsi="Times New Roman"/>
          <w:szCs w:val="21"/>
        </w:rPr>
      </w:pPr>
      <w:r>
        <w:rPr>
          <w:rFonts w:ascii="Times New Roman" w:hAnsi="Times New Roman"/>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8F8A8">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05CCA">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14:paraId="471E715F">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68DD6">
    <w:pPr>
      <w:rPr>
        <w:rFonts w:hint="eastAsia"/>
      </w:rPr>
    </w:pPr>
  </w:p>
  <w:p w14:paraId="09CB76F7">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jNjk2NmU4ODlkMGU2Yzk1N2FhZWM1ODAxNDRlMGEifQ=="/>
  </w:docVars>
  <w:rsids>
    <w:rsidRoot w:val="00172A27"/>
    <w:rsid w:val="00000EB8"/>
    <w:rsid w:val="0003523C"/>
    <w:rsid w:val="00051A44"/>
    <w:rsid w:val="00052B15"/>
    <w:rsid w:val="00054C6A"/>
    <w:rsid w:val="00081CBD"/>
    <w:rsid w:val="000976DE"/>
    <w:rsid w:val="000C3346"/>
    <w:rsid w:val="000D4558"/>
    <w:rsid w:val="000D6F7A"/>
    <w:rsid w:val="000F2437"/>
    <w:rsid w:val="00123F94"/>
    <w:rsid w:val="001453C9"/>
    <w:rsid w:val="00151272"/>
    <w:rsid w:val="00153311"/>
    <w:rsid w:val="001809DD"/>
    <w:rsid w:val="00185350"/>
    <w:rsid w:val="001A67CB"/>
    <w:rsid w:val="001B4DF3"/>
    <w:rsid w:val="001C7E18"/>
    <w:rsid w:val="001F04A3"/>
    <w:rsid w:val="001F427D"/>
    <w:rsid w:val="002019AD"/>
    <w:rsid w:val="00210D1A"/>
    <w:rsid w:val="00216232"/>
    <w:rsid w:val="00232530"/>
    <w:rsid w:val="00253624"/>
    <w:rsid w:val="00277872"/>
    <w:rsid w:val="00280A2F"/>
    <w:rsid w:val="002A3DD2"/>
    <w:rsid w:val="002D2906"/>
    <w:rsid w:val="002D7F8A"/>
    <w:rsid w:val="002E0D1D"/>
    <w:rsid w:val="002E7759"/>
    <w:rsid w:val="003026A1"/>
    <w:rsid w:val="003203A3"/>
    <w:rsid w:val="00321192"/>
    <w:rsid w:val="003615F7"/>
    <w:rsid w:val="003650DE"/>
    <w:rsid w:val="00365CBE"/>
    <w:rsid w:val="00377CD4"/>
    <w:rsid w:val="003A0540"/>
    <w:rsid w:val="003A39D0"/>
    <w:rsid w:val="003A7D30"/>
    <w:rsid w:val="003C0A44"/>
    <w:rsid w:val="003C1198"/>
    <w:rsid w:val="003C388C"/>
    <w:rsid w:val="003D09A1"/>
    <w:rsid w:val="003E61BF"/>
    <w:rsid w:val="003E72A7"/>
    <w:rsid w:val="003F120D"/>
    <w:rsid w:val="004104AC"/>
    <w:rsid w:val="00435DDC"/>
    <w:rsid w:val="00445E86"/>
    <w:rsid w:val="00474E04"/>
    <w:rsid w:val="00486E2E"/>
    <w:rsid w:val="00487951"/>
    <w:rsid w:val="004A1C4E"/>
    <w:rsid w:val="004D0C5A"/>
    <w:rsid w:val="004D184C"/>
    <w:rsid w:val="004D1A13"/>
    <w:rsid w:val="004E1396"/>
    <w:rsid w:val="004E3236"/>
    <w:rsid w:val="00510338"/>
    <w:rsid w:val="0053633A"/>
    <w:rsid w:val="005512BE"/>
    <w:rsid w:val="00562714"/>
    <w:rsid w:val="00563EBC"/>
    <w:rsid w:val="0058549D"/>
    <w:rsid w:val="005A3E08"/>
    <w:rsid w:val="005A3F89"/>
    <w:rsid w:val="005A5ED5"/>
    <w:rsid w:val="005D2946"/>
    <w:rsid w:val="005F7BCA"/>
    <w:rsid w:val="006159FA"/>
    <w:rsid w:val="00637D0A"/>
    <w:rsid w:val="006441DB"/>
    <w:rsid w:val="00645D3B"/>
    <w:rsid w:val="0064793E"/>
    <w:rsid w:val="00651A7D"/>
    <w:rsid w:val="006521DD"/>
    <w:rsid w:val="00655714"/>
    <w:rsid w:val="006806FF"/>
    <w:rsid w:val="006901AC"/>
    <w:rsid w:val="00697A6A"/>
    <w:rsid w:val="006C190B"/>
    <w:rsid w:val="006E1171"/>
    <w:rsid w:val="006E229C"/>
    <w:rsid w:val="006E5D80"/>
    <w:rsid w:val="006E6CD5"/>
    <w:rsid w:val="006F0971"/>
    <w:rsid w:val="00703B92"/>
    <w:rsid w:val="00705F36"/>
    <w:rsid w:val="0072192F"/>
    <w:rsid w:val="0072334C"/>
    <w:rsid w:val="00753006"/>
    <w:rsid w:val="007652B6"/>
    <w:rsid w:val="007B2710"/>
    <w:rsid w:val="007E30ED"/>
    <w:rsid w:val="007E5621"/>
    <w:rsid w:val="00855969"/>
    <w:rsid w:val="00860A1D"/>
    <w:rsid w:val="00864FF3"/>
    <w:rsid w:val="00895BEA"/>
    <w:rsid w:val="00896F52"/>
    <w:rsid w:val="008A3497"/>
    <w:rsid w:val="008D6DA1"/>
    <w:rsid w:val="008F3467"/>
    <w:rsid w:val="00905F2C"/>
    <w:rsid w:val="00917A54"/>
    <w:rsid w:val="00936382"/>
    <w:rsid w:val="00947BD6"/>
    <w:rsid w:val="00952D34"/>
    <w:rsid w:val="00953A42"/>
    <w:rsid w:val="00953E64"/>
    <w:rsid w:val="00971477"/>
    <w:rsid w:val="00995564"/>
    <w:rsid w:val="009A0EB5"/>
    <w:rsid w:val="009A6409"/>
    <w:rsid w:val="009B7E27"/>
    <w:rsid w:val="009F24EF"/>
    <w:rsid w:val="009F6714"/>
    <w:rsid w:val="00A40422"/>
    <w:rsid w:val="00A43553"/>
    <w:rsid w:val="00A61812"/>
    <w:rsid w:val="00A7079D"/>
    <w:rsid w:val="00A8267E"/>
    <w:rsid w:val="00A9128D"/>
    <w:rsid w:val="00AC4282"/>
    <w:rsid w:val="00AC5391"/>
    <w:rsid w:val="00AC6C45"/>
    <w:rsid w:val="00AE57C1"/>
    <w:rsid w:val="00AE618D"/>
    <w:rsid w:val="00AE7FD1"/>
    <w:rsid w:val="00AF1091"/>
    <w:rsid w:val="00AF3FD0"/>
    <w:rsid w:val="00B25C70"/>
    <w:rsid w:val="00B34393"/>
    <w:rsid w:val="00B43D82"/>
    <w:rsid w:val="00B64ECC"/>
    <w:rsid w:val="00B83162"/>
    <w:rsid w:val="00BA5521"/>
    <w:rsid w:val="00BA647E"/>
    <w:rsid w:val="00BC290D"/>
    <w:rsid w:val="00BD7B36"/>
    <w:rsid w:val="00BE1C76"/>
    <w:rsid w:val="00BF2B8C"/>
    <w:rsid w:val="00C26074"/>
    <w:rsid w:val="00C460B7"/>
    <w:rsid w:val="00C768B2"/>
    <w:rsid w:val="00C83B0A"/>
    <w:rsid w:val="00CB1E77"/>
    <w:rsid w:val="00CE1E0C"/>
    <w:rsid w:val="00CE277E"/>
    <w:rsid w:val="00CE3ADA"/>
    <w:rsid w:val="00D00F55"/>
    <w:rsid w:val="00D0654D"/>
    <w:rsid w:val="00D41A9C"/>
    <w:rsid w:val="00D50EF2"/>
    <w:rsid w:val="00D56867"/>
    <w:rsid w:val="00D823DF"/>
    <w:rsid w:val="00D97542"/>
    <w:rsid w:val="00DB0670"/>
    <w:rsid w:val="00DE509B"/>
    <w:rsid w:val="00DE616D"/>
    <w:rsid w:val="00E006E8"/>
    <w:rsid w:val="00E02A7F"/>
    <w:rsid w:val="00E07880"/>
    <w:rsid w:val="00E34B37"/>
    <w:rsid w:val="00E64872"/>
    <w:rsid w:val="00E7086B"/>
    <w:rsid w:val="00E7179C"/>
    <w:rsid w:val="00E82621"/>
    <w:rsid w:val="00EB1312"/>
    <w:rsid w:val="00EB3BDC"/>
    <w:rsid w:val="00ED3A18"/>
    <w:rsid w:val="00ED4D6B"/>
    <w:rsid w:val="00EE511E"/>
    <w:rsid w:val="00EF155E"/>
    <w:rsid w:val="00F11366"/>
    <w:rsid w:val="00F135C2"/>
    <w:rsid w:val="00F1798B"/>
    <w:rsid w:val="00F30146"/>
    <w:rsid w:val="00F36A1B"/>
    <w:rsid w:val="00F405DF"/>
    <w:rsid w:val="00F50B5A"/>
    <w:rsid w:val="00F50EC9"/>
    <w:rsid w:val="00F7091A"/>
    <w:rsid w:val="00F77C9A"/>
    <w:rsid w:val="00F84F4D"/>
    <w:rsid w:val="00FA4776"/>
    <w:rsid w:val="00FA4E6D"/>
    <w:rsid w:val="00FA79C3"/>
    <w:rsid w:val="00FB576C"/>
    <w:rsid w:val="00FC19E2"/>
    <w:rsid w:val="00FD2AA6"/>
    <w:rsid w:val="00FE60E8"/>
    <w:rsid w:val="00FE7E8A"/>
    <w:rsid w:val="02A57F02"/>
    <w:rsid w:val="07EF3886"/>
    <w:rsid w:val="0AA62D84"/>
    <w:rsid w:val="0F743BFC"/>
    <w:rsid w:val="11D528D6"/>
    <w:rsid w:val="17A6377C"/>
    <w:rsid w:val="1A043570"/>
    <w:rsid w:val="1BCB055F"/>
    <w:rsid w:val="1CFB7DC6"/>
    <w:rsid w:val="228D4F4F"/>
    <w:rsid w:val="249661B1"/>
    <w:rsid w:val="27FF26C0"/>
    <w:rsid w:val="2A002954"/>
    <w:rsid w:val="2CF26204"/>
    <w:rsid w:val="33CD3FA6"/>
    <w:rsid w:val="38496FB5"/>
    <w:rsid w:val="39FDE737"/>
    <w:rsid w:val="3AFEAB88"/>
    <w:rsid w:val="48120A86"/>
    <w:rsid w:val="490D1192"/>
    <w:rsid w:val="4A2C20E5"/>
    <w:rsid w:val="4AA91919"/>
    <w:rsid w:val="4B745BCF"/>
    <w:rsid w:val="527E115B"/>
    <w:rsid w:val="54E4239E"/>
    <w:rsid w:val="5A7F49FA"/>
    <w:rsid w:val="5ED05ADA"/>
    <w:rsid w:val="657B3634"/>
    <w:rsid w:val="67FF17EA"/>
    <w:rsid w:val="6FBC589F"/>
    <w:rsid w:val="6FE295E4"/>
    <w:rsid w:val="71BD468D"/>
    <w:rsid w:val="77421265"/>
    <w:rsid w:val="77BB2247"/>
    <w:rsid w:val="77BFAF31"/>
    <w:rsid w:val="783D2617"/>
    <w:rsid w:val="7BF966A1"/>
    <w:rsid w:val="7C98B63D"/>
    <w:rsid w:val="AF6F699D"/>
    <w:rsid w:val="AF79BFDA"/>
    <w:rsid w:val="BB8F2BF2"/>
    <w:rsid w:val="BFA9A341"/>
    <w:rsid w:val="BFFF9B1B"/>
    <w:rsid w:val="E7FC8EE8"/>
    <w:rsid w:val="EEBF037D"/>
    <w:rsid w:val="FB7F0DA5"/>
    <w:rsid w:val="FCFF60C8"/>
    <w:rsid w:val="FE7D8D14"/>
    <w:rsid w:val="FF7C5E1A"/>
    <w:rsid w:val="FF9F8B1F"/>
    <w:rsid w:val="FFEB6D3C"/>
    <w:rsid w:val="FFFBF9C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autoRedefine/>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4">
    <w:name w:val="annotation text"/>
    <w:basedOn w:val="1"/>
    <w:link w:val="24"/>
    <w:unhideWhenUsed/>
    <w:qFormat/>
    <w:uiPriority w:val="99"/>
    <w:pPr>
      <w:jc w:val="left"/>
    </w:pPr>
  </w:style>
  <w:style w:type="paragraph" w:styleId="5">
    <w:name w:val="Plain Text"/>
    <w:basedOn w:val="1"/>
    <w:link w:val="15"/>
    <w:qFormat/>
    <w:uiPriority w:val="99"/>
    <w:rPr>
      <w:rFonts w:ascii="宋体" w:hAnsi="Courier New"/>
      <w:kern w:val="0"/>
      <w:sz w:val="20"/>
      <w:szCs w:val="20"/>
    </w:rPr>
  </w:style>
  <w:style w:type="paragraph" w:styleId="6">
    <w:name w:val="Balloon Text"/>
    <w:basedOn w:val="1"/>
    <w:link w:val="16"/>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Indent 3"/>
    <w:qFormat/>
    <w:uiPriority w:val="0"/>
    <w:pPr>
      <w:widowControl w:val="0"/>
      <w:spacing w:after="120"/>
      <w:ind w:left="420" w:leftChars="200"/>
      <w:jc w:val="both"/>
    </w:pPr>
    <w:rPr>
      <w:rFonts w:ascii="Times New Roman" w:hAnsi="Times New Roman" w:eastAsia="仿宋" w:cs="Times New Roman"/>
      <w:kern w:val="2"/>
      <w:sz w:val="16"/>
      <w:szCs w:val="16"/>
      <w:lang w:val="en-US" w:eastAsia="zh-CN" w:bidi="ar-SA"/>
    </w:rPr>
  </w:style>
  <w:style w:type="paragraph" w:styleId="10">
    <w:name w:val="Normal (Web)"/>
    <w:basedOn w:val="1"/>
    <w:unhideWhenUsed/>
    <w:qFormat/>
    <w:uiPriority w:val="0"/>
    <w:pPr>
      <w:spacing w:before="100" w:beforeAutospacing="1" w:after="100" w:afterAutospacing="1"/>
      <w:jc w:val="left"/>
    </w:pPr>
    <w:rPr>
      <w:rFonts w:ascii="Calibri" w:hAnsi="Calibri"/>
      <w:kern w:val="0"/>
      <w:sz w:val="24"/>
      <w:szCs w:val="22"/>
    </w:rPr>
  </w:style>
  <w:style w:type="character" w:styleId="13">
    <w:name w:val="page number"/>
    <w:qFormat/>
    <w:uiPriority w:val="0"/>
  </w:style>
  <w:style w:type="character" w:styleId="14">
    <w:name w:val="annotation reference"/>
    <w:unhideWhenUsed/>
    <w:qFormat/>
    <w:uiPriority w:val="99"/>
    <w:rPr>
      <w:sz w:val="21"/>
      <w:szCs w:val="21"/>
    </w:rPr>
  </w:style>
  <w:style w:type="character" w:customStyle="1" w:styleId="15">
    <w:name w:val="纯文本 字符"/>
    <w:link w:val="5"/>
    <w:qFormat/>
    <w:locked/>
    <w:uiPriority w:val="99"/>
    <w:rPr>
      <w:rFonts w:ascii="宋体" w:hAnsi="Courier New"/>
    </w:rPr>
  </w:style>
  <w:style w:type="character" w:customStyle="1" w:styleId="16">
    <w:name w:val="批注框文本 字符"/>
    <w:link w:val="6"/>
    <w:semiHidden/>
    <w:qFormat/>
    <w:uiPriority w:val="99"/>
    <w:rPr>
      <w:kern w:val="2"/>
      <w:sz w:val="18"/>
      <w:szCs w:val="18"/>
    </w:rPr>
  </w:style>
  <w:style w:type="character" w:customStyle="1" w:styleId="17">
    <w:name w:val="页脚 字符1"/>
    <w:link w:val="7"/>
    <w:qFormat/>
    <w:uiPriority w:val="99"/>
    <w:rPr>
      <w:kern w:val="2"/>
      <w:sz w:val="18"/>
      <w:szCs w:val="18"/>
    </w:rPr>
  </w:style>
  <w:style w:type="character" w:customStyle="1" w:styleId="18">
    <w:name w:val="页眉 字符"/>
    <w:link w:val="8"/>
    <w:qFormat/>
    <w:uiPriority w:val="99"/>
    <w:rPr>
      <w:kern w:val="2"/>
      <w:sz w:val="18"/>
      <w:szCs w:val="18"/>
    </w:rPr>
  </w:style>
  <w:style w:type="paragraph" w:customStyle="1" w:styleId="19">
    <w:name w:val="列出段落1"/>
    <w:basedOn w:val="1"/>
    <w:qFormat/>
    <w:uiPriority w:val="34"/>
    <w:pPr>
      <w:ind w:firstLine="420" w:firstLineChars="200"/>
    </w:pPr>
    <w:rPr>
      <w:rFonts w:ascii="Calibri" w:hAnsi="Calibri"/>
      <w:szCs w:val="22"/>
    </w:rPr>
  </w:style>
  <w:style w:type="character" w:customStyle="1" w:styleId="20">
    <w:name w:val="页脚 字符"/>
    <w:qFormat/>
    <w:uiPriority w:val="99"/>
    <w:rPr>
      <w:kern w:val="2"/>
      <w:sz w:val="18"/>
      <w:szCs w:val="18"/>
    </w:rPr>
  </w:style>
  <w:style w:type="paragraph" w:customStyle="1" w:styleId="21">
    <w:name w:val="列项·"/>
    <w:qFormat/>
    <w:uiPriority w:val="99"/>
    <w:pPr>
      <w:tabs>
        <w:tab w:val="left" w:pos="840"/>
      </w:tabs>
      <w:ind w:left="420"/>
      <w:jc w:val="both"/>
    </w:pPr>
    <w:rPr>
      <w:rFonts w:ascii="宋体" w:hAnsi="Times New Roman" w:eastAsia="宋体" w:cs="Times New Roman"/>
      <w:sz w:val="21"/>
      <w:lang w:val="en-US" w:eastAsia="zh-CN" w:bidi="ar-SA"/>
    </w:rPr>
  </w:style>
  <w:style w:type="character" w:customStyle="1" w:styleId="22">
    <w:name w:val="纯文本 字符1"/>
    <w:semiHidden/>
    <w:qFormat/>
    <w:uiPriority w:val="99"/>
    <w:rPr>
      <w:rFonts w:ascii="宋体" w:hAnsi="Courier New" w:cs="Courier New"/>
      <w:kern w:val="2"/>
      <w:sz w:val="21"/>
      <w:szCs w:val="21"/>
    </w:rPr>
  </w:style>
  <w:style w:type="paragraph" w:customStyle="1" w:styleId="23">
    <w:name w:val="_Style 20"/>
    <w:hidden/>
    <w:unhideWhenUsed/>
    <w:qFormat/>
    <w:uiPriority w:val="99"/>
    <w:rPr>
      <w:rFonts w:ascii="Times New Roman" w:hAnsi="Times New Roman" w:eastAsia="宋体" w:cs="Times New Roman"/>
      <w:kern w:val="2"/>
      <w:sz w:val="21"/>
      <w:szCs w:val="24"/>
      <w:lang w:val="en-US" w:eastAsia="zh-CN" w:bidi="ar-SA"/>
    </w:rPr>
  </w:style>
  <w:style w:type="character" w:customStyle="1" w:styleId="24">
    <w:name w:val="批注文字 字符"/>
    <w:link w:val="4"/>
    <w:autoRedefine/>
    <w:qFormat/>
    <w:uiPriority w:val="99"/>
    <w:rPr>
      <w:kern w:val="2"/>
      <w:sz w:val="21"/>
      <w:szCs w:val="24"/>
    </w:rPr>
  </w:style>
  <w:style w:type="character" w:customStyle="1" w:styleId="25">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3</Pages>
  <Words>1216</Words>
  <Characters>1689</Characters>
  <Lines>34</Lines>
  <Paragraphs>9</Paragraphs>
  <TotalTime>161</TotalTime>
  <ScaleCrop>false</ScaleCrop>
  <LinksUpToDate>false</LinksUpToDate>
  <CharactersWithSpaces>1771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2022-05-17T17:23:00Z</dcterms:created>
  <dc:creator>Legend User</dc:creator>
  <cp:lastModifiedBy>LIAOHE</cp:lastModifiedBy>
  <cp:lastPrinted>2019-12-09T23:53:00Z</cp:lastPrinted>
  <dcterms:modified xsi:type="dcterms:W3CDTF">2026-08-27T16:40:32Z</dcterms:modified>
  <dc:title>××产品质量监督抽查实施细则</dc:title>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3CD80CE21698F3E98F28886ADB967A4C_43</vt:lpwstr>
  </property>
  <property fmtid="{D5CDD505-2E9C-101B-9397-08002B2CF9AE}" pid="4" name="commondata">
    <vt:lpwstr>eyJoZGlkIjoiY2QyZTZjZWU0YzdjNTM3MGE0OTVhNDgwMTg0YzM4YTgifQ==</vt:lpwstr>
  </property>
  <property fmtid="{D5CDD505-2E9C-101B-9397-08002B2CF9AE}" pid="5" name="KSOTemplateDocerSaveRecord">
    <vt:lpwstr>eyJoZGlkIjoiOThhNmI2MmI4ZjU5NGViYmY4NzY2MWM2N2MxM2Y4YWMiLCJ1c2VySWQiOiIzODYwOTUwMzMifQ==</vt:lpwstr>
  </property>
</Properties>
</file>